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tabs>
          <w:tab w:pos="7270" w:val="left" w:leader="none"/>
        </w:tabs>
        <w:spacing w:before="69"/>
        <w:ind w:left="178"/>
      </w:pPr>
      <w:r>
        <w:rPr/>
        <w:t>Joint</w:t>
      </w:r>
      <w:r>
        <w:rPr>
          <w:spacing w:val="-2"/>
        </w:rPr>
        <w:t> </w:t>
      </w:r>
      <w:r>
        <w:rPr/>
        <w:t>Committee</w:t>
        <w:tab/>
        <w:t>12th</w:t>
      </w:r>
      <w:r>
        <w:rPr>
          <w:spacing w:val="-1"/>
        </w:rPr>
        <w:t> </w:t>
      </w:r>
      <w:r>
        <w:rPr/>
        <w:t>draft</w:t>
      </w:r>
    </w:p>
    <w:p>
      <w:pPr>
        <w:pStyle w:val="BodyText"/>
        <w:spacing w:before="84"/>
        <w:ind w:left="178"/>
      </w:pPr>
      <w:r>
        <w:rPr/>
        <w:t>on Structural Safety</w:t>
      </w:r>
    </w:p>
    <w:p>
      <w:pPr>
        <w:pStyle w:val="BodyText"/>
        <w:spacing w:before="84"/>
        <w:ind w:left="178"/>
      </w:pPr>
      <w:r>
        <w:rPr/>
        <w:t>JCSS-OSTL/DIA/VROU -10-11-2000</w:t>
      </w: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rPr>
          <w:sz w:val="32"/>
        </w:rPr>
      </w:pPr>
    </w:p>
    <w:p>
      <w:pPr>
        <w:spacing w:before="1"/>
        <w:ind w:left="280" w:right="216" w:firstLine="0"/>
        <w:jc w:val="center"/>
        <w:rPr>
          <w:b/>
          <w:sz w:val="32"/>
        </w:rPr>
      </w:pPr>
      <w:r>
        <w:rPr>
          <w:b/>
          <w:sz w:val="32"/>
        </w:rPr>
        <w:t>PROBABILISTIC MODEL CODE</w:t>
      </w:r>
    </w:p>
    <w:p>
      <w:pPr>
        <w:pStyle w:val="BodyText"/>
        <w:spacing w:before="7"/>
        <w:rPr>
          <w:b/>
          <w:sz w:val="34"/>
        </w:rPr>
      </w:pPr>
    </w:p>
    <w:p>
      <w:pPr>
        <w:spacing w:before="1"/>
        <w:ind w:left="279" w:right="216" w:firstLine="0"/>
        <w:jc w:val="center"/>
        <w:rPr>
          <w:b/>
          <w:sz w:val="28"/>
        </w:rPr>
      </w:pPr>
      <w:r>
        <w:rPr>
          <w:b/>
          <w:sz w:val="28"/>
        </w:rPr>
        <w:t>Part 1 - BASIS OF DESIGN</w:t>
      </w:r>
    </w:p>
    <w:p>
      <w:pPr>
        <w:spacing w:after="0"/>
        <w:jc w:val="center"/>
        <w:rPr>
          <w:sz w:val="28"/>
        </w:rPr>
        <w:sectPr>
          <w:type w:val="continuous"/>
          <w:pgSz w:w="11910" w:h="16840"/>
          <w:pgMar w:top="580" w:bottom="280" w:left="1240" w:right="1300"/>
        </w:sectPr>
      </w:pPr>
    </w:p>
    <w:p>
      <w:pPr>
        <w:pStyle w:val="Heading2"/>
        <w:spacing w:before="61"/>
        <w:ind w:left="177" w:firstLine="0"/>
      </w:pPr>
      <w:r>
        <w:rPr>
          <w:u w:val="thick"/>
        </w:rPr>
        <w:t>Contents</w:t>
      </w:r>
    </w:p>
    <w:p>
      <w:pPr>
        <w:spacing w:after="0"/>
        <w:sectPr>
          <w:pgSz w:w="11910" w:h="16840"/>
          <w:pgMar w:top="1440" w:bottom="705" w:left="1240" w:right="1300"/>
        </w:sectPr>
      </w:pPr>
    </w:p>
    <w:sdt>
      <w:sdtPr>
        <w:docPartObj>
          <w:docPartGallery w:val="Table of Contents"/>
          <w:docPartUnique/>
        </w:docPartObj>
      </w:sdtPr>
      <w:sdtEndPr/>
      <w:sdtContent>
        <w:p>
          <w:pPr>
            <w:pStyle w:val="TOC1"/>
            <w:numPr>
              <w:ilvl w:val="0"/>
              <w:numId w:val="1"/>
            </w:numPr>
            <w:tabs>
              <w:tab w:pos="657" w:val="left" w:leader="none"/>
              <w:tab w:pos="658" w:val="left" w:leader="none"/>
              <w:tab w:pos="9239" w:val="right" w:leader="dot"/>
            </w:tabs>
            <w:spacing w:line="240" w:lineRule="auto" w:before="204" w:after="0"/>
            <w:ind w:left="657" w:right="0" w:hanging="480"/>
            <w:jc w:val="left"/>
          </w:pPr>
          <w:hyperlink w:history="true" w:anchor="_TOC_250049">
            <w:r>
              <w:rPr/>
              <w:t>Introduction</w:t>
              <w:tab/>
              <w:t>3</w:t>
            </w:r>
          </w:hyperlink>
        </w:p>
        <w:p>
          <w:pPr>
            <w:pStyle w:val="TOC1"/>
            <w:numPr>
              <w:ilvl w:val="0"/>
              <w:numId w:val="1"/>
            </w:numPr>
            <w:tabs>
              <w:tab w:pos="657" w:val="left" w:leader="none"/>
              <w:tab w:pos="658" w:val="left" w:leader="none"/>
              <w:tab w:pos="9239" w:val="right" w:leader="dot"/>
            </w:tabs>
            <w:spacing w:line="240" w:lineRule="auto" w:before="204" w:after="0"/>
            <w:ind w:left="657" w:right="0" w:hanging="480"/>
            <w:jc w:val="left"/>
          </w:pPr>
          <w:hyperlink w:history="true" w:anchor="_TOC_250048">
            <w:r>
              <w:rPr/>
              <w:t>Requirements</w:t>
              <w:tab/>
              <w:t>3</w:t>
            </w:r>
          </w:hyperlink>
        </w:p>
        <w:p>
          <w:pPr>
            <w:pStyle w:val="TOC3"/>
            <w:numPr>
              <w:ilvl w:val="1"/>
              <w:numId w:val="1"/>
            </w:numPr>
            <w:tabs>
              <w:tab w:pos="1137" w:val="left" w:leader="none"/>
              <w:tab w:pos="1138" w:val="left" w:leader="none"/>
              <w:tab w:pos="9238" w:val="right" w:leader="dot"/>
            </w:tabs>
            <w:spacing w:line="240" w:lineRule="auto" w:before="227" w:after="0"/>
            <w:ind w:left="1137" w:right="0" w:hanging="720"/>
            <w:jc w:val="left"/>
          </w:pPr>
          <w:hyperlink w:history="true" w:anchor="_TOC_250047">
            <w:r>
              <w:rPr/>
              <w:t>Basic</w:t>
            </w:r>
            <w:r>
              <w:rPr>
                <w:spacing w:val="-1"/>
              </w:rPr>
              <w:t> </w:t>
            </w:r>
            <w:r>
              <w:rPr/>
              <w:t>requirements</w:t>
              <w:tab/>
              <w:t>3</w:t>
            </w:r>
          </w:hyperlink>
        </w:p>
        <w:p>
          <w:pPr>
            <w:pStyle w:val="TOC3"/>
            <w:numPr>
              <w:ilvl w:val="1"/>
              <w:numId w:val="1"/>
            </w:numPr>
            <w:tabs>
              <w:tab w:pos="1137" w:val="left" w:leader="none"/>
              <w:tab w:pos="1138" w:val="left" w:leader="none"/>
              <w:tab w:pos="9238" w:val="right" w:leader="dot"/>
            </w:tabs>
            <w:spacing w:line="240" w:lineRule="auto" w:before="227" w:after="0"/>
            <w:ind w:left="1137" w:right="0" w:hanging="720"/>
            <w:jc w:val="left"/>
          </w:pPr>
          <w:hyperlink w:history="true" w:anchor="_TOC_250046">
            <w:r>
              <w:rPr/>
              <w:t>Reliability</w:t>
            </w:r>
            <w:r>
              <w:rPr>
                <w:spacing w:val="-1"/>
              </w:rPr>
              <w:t> </w:t>
            </w:r>
            <w:r>
              <w:rPr/>
              <w:t>differentiation</w:t>
              <w:tab/>
              <w:t>3</w:t>
            </w:r>
          </w:hyperlink>
        </w:p>
        <w:p>
          <w:pPr>
            <w:pStyle w:val="TOC3"/>
            <w:numPr>
              <w:ilvl w:val="1"/>
              <w:numId w:val="1"/>
            </w:numPr>
            <w:tabs>
              <w:tab w:pos="1137" w:val="left" w:leader="none"/>
              <w:tab w:pos="1138" w:val="left" w:leader="none"/>
              <w:tab w:pos="9238" w:val="right" w:leader="dot"/>
            </w:tabs>
            <w:spacing w:line="240" w:lineRule="auto" w:before="227" w:after="0"/>
            <w:ind w:left="1137" w:right="0" w:hanging="720"/>
            <w:jc w:val="left"/>
          </w:pPr>
          <w:hyperlink w:history="true" w:anchor="_TOC_250045">
            <w:r>
              <w:rPr/>
              <w:t>Requirements</w:t>
            </w:r>
            <w:r>
              <w:rPr>
                <w:spacing w:val="-1"/>
              </w:rPr>
              <w:t> </w:t>
            </w:r>
            <w:r>
              <w:rPr/>
              <w:t>for</w:t>
            </w:r>
            <w:r>
              <w:rPr>
                <w:spacing w:val="-1"/>
              </w:rPr>
              <w:t> </w:t>
            </w:r>
            <w:r>
              <w:rPr/>
              <w:t>durability</w:t>
              <w:tab/>
              <w:t>4</w:t>
            </w:r>
          </w:hyperlink>
        </w:p>
        <w:p>
          <w:pPr>
            <w:pStyle w:val="TOC1"/>
            <w:numPr>
              <w:ilvl w:val="0"/>
              <w:numId w:val="1"/>
            </w:numPr>
            <w:tabs>
              <w:tab w:pos="657" w:val="left" w:leader="none"/>
              <w:tab w:pos="658" w:val="left" w:leader="none"/>
              <w:tab w:pos="9239" w:val="right" w:leader="dot"/>
            </w:tabs>
            <w:spacing w:line="240" w:lineRule="auto" w:before="204" w:after="0"/>
            <w:ind w:left="657" w:right="0" w:hanging="480"/>
            <w:jc w:val="left"/>
          </w:pPr>
          <w:hyperlink w:history="true" w:anchor="_TOC_250044">
            <w:r>
              <w:rPr/>
              <w:t>Principles of limit</w:t>
            </w:r>
            <w:r>
              <w:rPr>
                <w:spacing w:val="-2"/>
              </w:rPr>
              <w:t> </w:t>
            </w:r>
            <w:r>
              <w:rPr/>
              <w:t>state</w:t>
            </w:r>
            <w:r>
              <w:rPr>
                <w:spacing w:val="-2"/>
              </w:rPr>
              <w:t> </w:t>
            </w:r>
            <w:r>
              <w:rPr/>
              <w:t>design</w:t>
              <w:tab/>
              <w:t>4</w:t>
            </w:r>
          </w:hyperlink>
        </w:p>
        <w:p>
          <w:pPr>
            <w:pStyle w:val="TOC3"/>
            <w:numPr>
              <w:ilvl w:val="1"/>
              <w:numId w:val="1"/>
            </w:numPr>
            <w:tabs>
              <w:tab w:pos="1137" w:val="left" w:leader="none"/>
              <w:tab w:pos="1138" w:val="left" w:leader="none"/>
              <w:tab w:pos="9238" w:val="right" w:leader="dot"/>
            </w:tabs>
            <w:spacing w:line="240" w:lineRule="auto" w:before="227" w:after="0"/>
            <w:ind w:left="1137" w:right="0" w:hanging="720"/>
            <w:jc w:val="left"/>
          </w:pPr>
          <w:hyperlink w:history="true" w:anchor="_TOC_250043">
            <w:r>
              <w:rPr/>
              <w:t>Limit states and</w:t>
            </w:r>
            <w:r>
              <w:rPr>
                <w:spacing w:val="-1"/>
              </w:rPr>
              <w:t> </w:t>
            </w:r>
            <w:r>
              <w:rPr/>
              <w:t>adverse</w:t>
            </w:r>
            <w:r>
              <w:rPr>
                <w:spacing w:val="-1"/>
              </w:rPr>
              <w:t> </w:t>
            </w:r>
            <w:r>
              <w:rPr/>
              <w:t>states</w:t>
              <w:tab/>
              <w:t>4</w:t>
            </w:r>
          </w:hyperlink>
        </w:p>
        <w:p>
          <w:pPr>
            <w:pStyle w:val="TOC3"/>
            <w:numPr>
              <w:ilvl w:val="1"/>
              <w:numId w:val="1"/>
            </w:numPr>
            <w:tabs>
              <w:tab w:pos="1137" w:val="left" w:leader="none"/>
              <w:tab w:pos="1138" w:val="left" w:leader="none"/>
              <w:tab w:pos="9238" w:val="right" w:leader="dot"/>
            </w:tabs>
            <w:spacing w:line="240" w:lineRule="auto" w:before="227" w:after="0"/>
            <w:ind w:left="1137" w:right="0" w:hanging="720"/>
            <w:jc w:val="left"/>
          </w:pPr>
          <w:hyperlink w:history="true" w:anchor="_TOC_250042">
            <w:r>
              <w:rPr/>
              <w:t>Limit</w:t>
            </w:r>
            <w:r>
              <w:rPr>
                <w:spacing w:val="-1"/>
              </w:rPr>
              <w:t> </w:t>
            </w:r>
            <w:r>
              <w:rPr/>
              <w:t>State</w:t>
            </w:r>
            <w:r>
              <w:rPr>
                <w:spacing w:val="-1"/>
              </w:rPr>
              <w:t> </w:t>
            </w:r>
            <w:r>
              <w:rPr/>
              <w:t>Function</w:t>
              <w:tab/>
              <w:t>6</w:t>
            </w:r>
          </w:hyperlink>
        </w:p>
        <w:p>
          <w:pPr>
            <w:pStyle w:val="TOC3"/>
            <w:numPr>
              <w:ilvl w:val="1"/>
              <w:numId w:val="1"/>
            </w:numPr>
            <w:tabs>
              <w:tab w:pos="1137" w:val="left" w:leader="none"/>
              <w:tab w:pos="1138" w:val="left" w:leader="none"/>
              <w:tab w:pos="9238" w:val="right" w:leader="dot"/>
            </w:tabs>
            <w:spacing w:line="240" w:lineRule="auto" w:before="227" w:after="0"/>
            <w:ind w:left="1137" w:right="0" w:hanging="720"/>
            <w:jc w:val="left"/>
          </w:pPr>
          <w:hyperlink w:history="true" w:anchor="_TOC_250041">
            <w:r>
              <w:rPr/>
              <w:t>Design</w:t>
            </w:r>
            <w:r>
              <w:rPr>
                <w:spacing w:val="-1"/>
              </w:rPr>
              <w:t> </w:t>
            </w:r>
            <w:r>
              <w:rPr/>
              <w:t>situations</w:t>
              <w:tab/>
              <w:t>7</w:t>
            </w:r>
          </w:hyperlink>
        </w:p>
        <w:p>
          <w:pPr>
            <w:pStyle w:val="TOC1"/>
            <w:numPr>
              <w:ilvl w:val="0"/>
              <w:numId w:val="1"/>
            </w:numPr>
            <w:tabs>
              <w:tab w:pos="657" w:val="left" w:leader="none"/>
              <w:tab w:pos="658" w:val="left" w:leader="none"/>
              <w:tab w:pos="9240" w:val="right" w:leader="dot"/>
            </w:tabs>
            <w:spacing w:line="240" w:lineRule="auto" w:before="204" w:after="0"/>
            <w:ind w:left="657" w:right="0" w:hanging="480"/>
            <w:jc w:val="left"/>
          </w:pPr>
          <w:hyperlink w:history="true" w:anchor="_TOC_250040">
            <w:r>
              <w:rPr/>
              <w:t>Basis of</w:t>
            </w:r>
            <w:r>
              <w:rPr>
                <w:spacing w:val="-1"/>
              </w:rPr>
              <w:t> </w:t>
            </w:r>
            <w:r>
              <w:rPr/>
              <w:t>uncerainty</w:t>
            </w:r>
            <w:r>
              <w:rPr>
                <w:spacing w:val="-2"/>
              </w:rPr>
              <w:t> </w:t>
            </w:r>
            <w:r>
              <w:rPr/>
              <w:t>modelling</w:t>
              <w:tab/>
              <w:t>7</w:t>
            </w:r>
          </w:hyperlink>
        </w:p>
        <w:p>
          <w:pPr>
            <w:pStyle w:val="TOC3"/>
            <w:numPr>
              <w:ilvl w:val="1"/>
              <w:numId w:val="1"/>
            </w:numPr>
            <w:tabs>
              <w:tab w:pos="1137" w:val="left" w:leader="none"/>
              <w:tab w:pos="1138" w:val="left" w:leader="none"/>
              <w:tab w:pos="9238" w:val="right" w:leader="dot"/>
            </w:tabs>
            <w:spacing w:line="240" w:lineRule="auto" w:before="227" w:after="0"/>
            <w:ind w:left="1137" w:right="0" w:hanging="720"/>
            <w:jc w:val="left"/>
          </w:pPr>
          <w:hyperlink w:history="true" w:anchor="_TOC_250039">
            <w:r>
              <w:rPr/>
              <w:t>Basic</w:t>
            </w:r>
            <w:r>
              <w:rPr>
                <w:spacing w:val="-1"/>
              </w:rPr>
              <w:t> </w:t>
            </w:r>
            <w:r>
              <w:rPr/>
              <w:t>variables</w:t>
              <w:tab/>
              <w:t>7</w:t>
            </w:r>
          </w:hyperlink>
        </w:p>
        <w:p>
          <w:pPr>
            <w:pStyle w:val="TOC3"/>
            <w:numPr>
              <w:ilvl w:val="1"/>
              <w:numId w:val="1"/>
            </w:numPr>
            <w:tabs>
              <w:tab w:pos="1137" w:val="left" w:leader="none"/>
              <w:tab w:pos="1138" w:val="left" w:leader="none"/>
              <w:tab w:pos="9238" w:val="right" w:leader="dot"/>
            </w:tabs>
            <w:spacing w:line="240" w:lineRule="auto" w:before="227" w:after="0"/>
            <w:ind w:left="1137" w:right="0" w:hanging="720"/>
            <w:jc w:val="left"/>
          </w:pPr>
          <w:hyperlink w:history="true" w:anchor="_TOC_250038">
            <w:r>
              <w:rPr/>
              <w:t>Types</w:t>
            </w:r>
            <w:r>
              <w:rPr>
                <w:spacing w:val="-1"/>
              </w:rPr>
              <w:t> </w:t>
            </w:r>
            <w:r>
              <w:rPr/>
              <w:t>of</w:t>
            </w:r>
            <w:r>
              <w:rPr>
                <w:spacing w:val="-1"/>
              </w:rPr>
              <w:t> </w:t>
            </w:r>
            <w:r>
              <w:rPr/>
              <w:t>uncertainty</w:t>
              <w:tab/>
              <w:t>8</w:t>
            </w:r>
          </w:hyperlink>
        </w:p>
        <w:p>
          <w:pPr>
            <w:pStyle w:val="TOC3"/>
            <w:numPr>
              <w:ilvl w:val="1"/>
              <w:numId w:val="1"/>
            </w:numPr>
            <w:tabs>
              <w:tab w:pos="1137" w:val="left" w:leader="none"/>
              <w:tab w:pos="1138" w:val="left" w:leader="none"/>
              <w:tab w:pos="9238" w:val="right" w:leader="dot"/>
            </w:tabs>
            <w:spacing w:line="240" w:lineRule="auto" w:before="227" w:after="0"/>
            <w:ind w:left="1137" w:right="0" w:hanging="720"/>
            <w:jc w:val="left"/>
          </w:pPr>
          <w:hyperlink w:history="true" w:anchor="_TOC_250037">
            <w:r>
              <w:rPr/>
              <w:t>Definition</w:t>
            </w:r>
            <w:r>
              <w:rPr>
                <w:spacing w:val="-1"/>
              </w:rPr>
              <w:t> </w:t>
            </w:r>
            <w:r>
              <w:rPr/>
              <w:t>of</w:t>
            </w:r>
            <w:r>
              <w:rPr>
                <w:spacing w:val="-1"/>
              </w:rPr>
              <w:t> </w:t>
            </w:r>
            <w:r>
              <w:rPr/>
              <w:t>populations</w:t>
              <w:tab/>
              <w:t>8</w:t>
            </w:r>
          </w:hyperlink>
        </w:p>
        <w:p>
          <w:pPr>
            <w:pStyle w:val="TOC3"/>
            <w:numPr>
              <w:ilvl w:val="1"/>
              <w:numId w:val="1"/>
            </w:numPr>
            <w:tabs>
              <w:tab w:pos="1137" w:val="left" w:leader="none"/>
              <w:tab w:pos="1138" w:val="left" w:leader="none"/>
              <w:tab w:pos="9240" w:val="right" w:leader="dot"/>
            </w:tabs>
            <w:spacing w:line="240" w:lineRule="auto" w:before="227" w:after="0"/>
            <w:ind w:left="1137" w:right="0" w:hanging="720"/>
            <w:jc w:val="left"/>
          </w:pPr>
          <w:hyperlink w:history="true" w:anchor="_TOC_250036">
            <w:r>
              <w:rPr/>
              <w:t>Hierarchy of</w:t>
            </w:r>
            <w:r>
              <w:rPr>
                <w:spacing w:val="-1"/>
              </w:rPr>
              <w:t> </w:t>
            </w:r>
            <w:r>
              <w:rPr/>
              <w:t>uncertainty</w:t>
            </w:r>
            <w:r>
              <w:rPr>
                <w:spacing w:val="-1"/>
              </w:rPr>
              <w:t> </w:t>
            </w:r>
            <w:r>
              <w:rPr/>
              <w:t>models</w:t>
              <w:tab/>
              <w:t>9</w:t>
            </w:r>
          </w:hyperlink>
        </w:p>
        <w:p>
          <w:pPr>
            <w:pStyle w:val="TOC1"/>
            <w:numPr>
              <w:ilvl w:val="0"/>
              <w:numId w:val="1"/>
            </w:numPr>
            <w:tabs>
              <w:tab w:pos="657" w:val="left" w:leader="none"/>
              <w:tab w:pos="658" w:val="left" w:leader="none"/>
              <w:tab w:pos="9240" w:val="right" w:leader="dot"/>
            </w:tabs>
            <w:spacing w:line="240" w:lineRule="auto" w:before="205" w:after="0"/>
            <w:ind w:left="657" w:right="0" w:hanging="480"/>
            <w:jc w:val="left"/>
          </w:pPr>
          <w:hyperlink w:history="true" w:anchor="_TOC_250035">
            <w:r>
              <w:rPr/>
              <w:t>Models for</w:t>
            </w:r>
            <w:r>
              <w:rPr>
                <w:spacing w:val="-2"/>
              </w:rPr>
              <w:t> </w:t>
            </w:r>
            <w:r>
              <w:rPr/>
              <w:t>physical</w:t>
            </w:r>
            <w:r>
              <w:rPr>
                <w:spacing w:val="-1"/>
              </w:rPr>
              <w:t> </w:t>
            </w:r>
            <w:r>
              <w:rPr/>
              <w:t>behaviour</w:t>
              <w:tab/>
              <w:t>9</w:t>
            </w:r>
          </w:hyperlink>
        </w:p>
        <w:p>
          <w:pPr>
            <w:pStyle w:val="TOC3"/>
            <w:numPr>
              <w:ilvl w:val="1"/>
              <w:numId w:val="1"/>
            </w:numPr>
            <w:tabs>
              <w:tab w:pos="1137" w:val="left" w:leader="none"/>
              <w:tab w:pos="1138" w:val="left" w:leader="none"/>
              <w:tab w:pos="9238" w:val="right" w:leader="dot"/>
            </w:tabs>
            <w:spacing w:line="240" w:lineRule="auto" w:before="226" w:after="0"/>
            <w:ind w:left="1137" w:right="0" w:hanging="720"/>
            <w:jc w:val="left"/>
          </w:pPr>
          <w:hyperlink w:history="true" w:anchor="_TOC_250034">
            <w:r>
              <w:rPr/>
              <w:t>General</w:t>
              <w:tab/>
              <w:t>9</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33">
            <w:r>
              <w:rPr/>
              <w:t>Action</w:t>
            </w:r>
            <w:r>
              <w:rPr>
                <w:spacing w:val="-1"/>
              </w:rPr>
              <w:t> </w:t>
            </w:r>
            <w:r>
              <w:rPr/>
              <w:t>models</w:t>
              <w:tab/>
              <w:t>10</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32">
            <w:r>
              <w:rPr/>
              <w:t>Geometrical</w:t>
            </w:r>
            <w:r>
              <w:rPr>
                <w:spacing w:val="-2"/>
              </w:rPr>
              <w:t> </w:t>
            </w:r>
            <w:r>
              <w:rPr/>
              <w:t>models</w:t>
              <w:tab/>
              <w:t>11</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31">
            <w:r>
              <w:rPr/>
              <w:t>Material</w:t>
            </w:r>
            <w:r>
              <w:rPr>
                <w:spacing w:val="-1"/>
              </w:rPr>
              <w:t> </w:t>
            </w:r>
            <w:r>
              <w:rPr/>
              <w:t>models</w:t>
              <w:tab/>
              <w:t>11</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30">
            <w:r>
              <w:rPr/>
              <w:t>Mechanical</w:t>
            </w:r>
            <w:r>
              <w:rPr>
                <w:spacing w:val="-1"/>
              </w:rPr>
              <w:t> </w:t>
            </w:r>
            <w:r>
              <w:rPr/>
              <w:t>models</w:t>
              <w:tab/>
              <w:t>12</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29">
            <w:r>
              <w:rPr/>
              <w:t>Model</w:t>
            </w:r>
            <w:r>
              <w:rPr>
                <w:spacing w:val="-1"/>
              </w:rPr>
              <w:t> </w:t>
            </w:r>
            <w:r>
              <w:rPr/>
              <w:t>uncertainties</w:t>
              <w:tab/>
              <w:t>13</w:t>
            </w:r>
          </w:hyperlink>
        </w:p>
        <w:p>
          <w:pPr>
            <w:pStyle w:val="TOC1"/>
            <w:numPr>
              <w:ilvl w:val="0"/>
              <w:numId w:val="1"/>
            </w:numPr>
            <w:tabs>
              <w:tab w:pos="657" w:val="left" w:leader="none"/>
              <w:tab w:pos="658" w:val="left" w:leader="none"/>
              <w:tab w:pos="9239" w:val="right" w:leader="dot"/>
            </w:tabs>
            <w:spacing w:line="240" w:lineRule="auto" w:before="205" w:after="0"/>
            <w:ind w:left="657" w:right="0" w:hanging="480"/>
            <w:jc w:val="left"/>
          </w:pPr>
          <w:hyperlink w:history="true" w:anchor="_TOC_250028">
            <w:r>
              <w:rPr/>
              <w:t>Reliability</w:t>
              <w:tab/>
              <w:t>14</w:t>
            </w:r>
          </w:hyperlink>
        </w:p>
        <w:p>
          <w:pPr>
            <w:pStyle w:val="TOC3"/>
            <w:numPr>
              <w:ilvl w:val="1"/>
              <w:numId w:val="1"/>
            </w:numPr>
            <w:tabs>
              <w:tab w:pos="1137" w:val="left" w:leader="none"/>
              <w:tab w:pos="1138" w:val="left" w:leader="none"/>
              <w:tab w:pos="9239" w:val="right" w:leader="dot"/>
            </w:tabs>
            <w:spacing w:line="240" w:lineRule="auto" w:before="226" w:after="0"/>
            <w:ind w:left="1137" w:right="0" w:hanging="720"/>
            <w:jc w:val="left"/>
          </w:pPr>
          <w:hyperlink w:history="true" w:anchor="_TOC_250027">
            <w:r>
              <w:rPr/>
              <w:t>Reliability</w:t>
            </w:r>
            <w:r>
              <w:rPr>
                <w:spacing w:val="-1"/>
              </w:rPr>
              <w:t> </w:t>
            </w:r>
            <w:r>
              <w:rPr/>
              <w:t>measures</w:t>
              <w:tab/>
              <w:t>14</w:t>
            </w:r>
          </w:hyperlink>
        </w:p>
        <w:p>
          <w:pPr>
            <w:pStyle w:val="TOC3"/>
            <w:numPr>
              <w:ilvl w:val="1"/>
              <w:numId w:val="1"/>
            </w:numPr>
            <w:tabs>
              <w:tab w:pos="1137" w:val="left" w:leader="none"/>
              <w:tab w:pos="1138" w:val="left" w:leader="none"/>
              <w:tab w:pos="9241" w:val="right" w:leader="dot"/>
            </w:tabs>
            <w:spacing w:line="240" w:lineRule="auto" w:before="227" w:after="0"/>
            <w:ind w:left="1137" w:right="0" w:hanging="720"/>
            <w:jc w:val="left"/>
          </w:pPr>
          <w:hyperlink w:history="true" w:anchor="_TOC_250026">
            <w:r>
              <w:rPr/>
              <w:t>Component reliability and</w:t>
            </w:r>
            <w:r>
              <w:rPr>
                <w:spacing w:val="-1"/>
              </w:rPr>
              <w:t> </w:t>
            </w:r>
            <w:r>
              <w:rPr/>
              <w:t>system</w:t>
            </w:r>
            <w:r>
              <w:rPr>
                <w:spacing w:val="-1"/>
              </w:rPr>
              <w:t> </w:t>
            </w:r>
            <w:r>
              <w:rPr/>
              <w:t>reliability</w:t>
              <w:tab/>
              <w:t>14</w:t>
            </w:r>
          </w:hyperlink>
        </w:p>
        <w:p>
          <w:pPr>
            <w:pStyle w:val="TOC3"/>
            <w:numPr>
              <w:ilvl w:val="1"/>
              <w:numId w:val="1"/>
            </w:numPr>
            <w:tabs>
              <w:tab w:pos="1137" w:val="left" w:leader="none"/>
              <w:tab w:pos="1138" w:val="left" w:leader="none"/>
              <w:tab w:pos="9241" w:val="right" w:leader="dot"/>
            </w:tabs>
            <w:spacing w:line="240" w:lineRule="auto" w:before="227" w:after="0"/>
            <w:ind w:left="1137" w:right="0" w:hanging="720"/>
            <w:jc w:val="left"/>
          </w:pPr>
          <w:hyperlink w:history="true" w:anchor="_TOC_250025">
            <w:r>
              <w:rPr/>
              <w:t>Methods for reliability analysis</w:t>
            </w:r>
            <w:r>
              <w:rPr>
                <w:spacing w:val="-1"/>
              </w:rPr>
              <w:t> </w:t>
            </w:r>
            <w:r>
              <w:rPr/>
              <w:t>and</w:t>
            </w:r>
            <w:r>
              <w:rPr>
                <w:spacing w:val="-1"/>
              </w:rPr>
              <w:t> </w:t>
            </w:r>
            <w:r>
              <w:rPr/>
              <w:t>calculation</w:t>
              <w:tab/>
              <w:t>15</w:t>
            </w:r>
          </w:hyperlink>
        </w:p>
        <w:p>
          <w:pPr>
            <w:pStyle w:val="TOC1"/>
            <w:numPr>
              <w:ilvl w:val="0"/>
              <w:numId w:val="1"/>
            </w:numPr>
            <w:tabs>
              <w:tab w:pos="657" w:val="left" w:leader="none"/>
              <w:tab w:pos="658" w:val="left" w:leader="none"/>
              <w:tab w:pos="9239" w:val="right" w:leader="dot"/>
            </w:tabs>
            <w:spacing w:line="240" w:lineRule="auto" w:before="205" w:after="0"/>
            <w:ind w:left="657" w:right="0" w:hanging="480"/>
            <w:jc w:val="left"/>
          </w:pPr>
          <w:hyperlink w:history="true" w:anchor="_TOC_250024">
            <w:r>
              <w:rPr/>
              <w:t>Target Reliability</w:t>
              <w:tab/>
              <w:t>16</w:t>
            </w:r>
          </w:hyperlink>
        </w:p>
        <w:p>
          <w:pPr>
            <w:pStyle w:val="TOC3"/>
            <w:numPr>
              <w:ilvl w:val="1"/>
              <w:numId w:val="1"/>
            </w:numPr>
            <w:tabs>
              <w:tab w:pos="1137" w:val="left" w:leader="none"/>
              <w:tab w:pos="1138" w:val="left" w:leader="none"/>
              <w:tab w:pos="9239" w:val="right" w:leader="dot"/>
            </w:tabs>
            <w:spacing w:line="240" w:lineRule="auto" w:before="226" w:after="0"/>
            <w:ind w:left="1137" w:right="0" w:hanging="720"/>
            <w:jc w:val="left"/>
          </w:pPr>
          <w:hyperlink w:history="true" w:anchor="_TOC_250023">
            <w:r>
              <w:rPr/>
              <w:t>General</w:t>
            </w:r>
            <w:r>
              <w:rPr>
                <w:spacing w:val="-1"/>
              </w:rPr>
              <w:t> </w:t>
            </w:r>
            <w:r>
              <w:rPr/>
              <w:t>Aspects</w:t>
              <w:tab/>
              <w:t>16</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22">
            <w:r>
              <w:rPr/>
              <w:t>Recommendations</w:t>
              <w:tab/>
              <w:t>16</w:t>
            </w:r>
          </w:hyperlink>
        </w:p>
        <w:p>
          <w:pPr>
            <w:pStyle w:val="TOC2"/>
          </w:pPr>
          <w:r>
            <w:rPr/>
            <w:t>JCSS-OSTL/DIA-04-10-1999</w:t>
          </w:r>
        </w:p>
        <w:p>
          <w:pPr>
            <w:pStyle w:val="TOC4"/>
            <w:numPr>
              <w:ilvl w:val="2"/>
              <w:numId w:val="1"/>
            </w:numPr>
            <w:tabs>
              <w:tab w:pos="1377" w:val="left" w:leader="none"/>
              <w:tab w:pos="1378" w:val="left" w:leader="none"/>
              <w:tab w:pos="9239" w:val="right" w:leader="dot"/>
            </w:tabs>
            <w:spacing w:line="240" w:lineRule="auto" w:before="107" w:after="0"/>
            <w:ind w:left="1377" w:right="0" w:hanging="720"/>
            <w:jc w:val="left"/>
          </w:pPr>
          <w:r>
            <w:rPr/>
            <w:t>Ultimate</w:t>
          </w:r>
          <w:r>
            <w:rPr>
              <w:spacing w:val="-1"/>
            </w:rPr>
            <w:t> </w:t>
          </w:r>
          <w:r>
            <w:rPr/>
            <w:t>Limit</w:t>
          </w:r>
          <w:r>
            <w:rPr>
              <w:spacing w:val="-1"/>
            </w:rPr>
            <w:t> </w:t>
          </w:r>
          <w:r>
            <w:rPr/>
            <w:t>States.</w:t>
            <w:tab/>
            <w:t>16</w:t>
          </w:r>
        </w:p>
        <w:p>
          <w:pPr>
            <w:pStyle w:val="TOC4"/>
            <w:numPr>
              <w:ilvl w:val="2"/>
              <w:numId w:val="1"/>
            </w:numPr>
            <w:tabs>
              <w:tab w:pos="1377" w:val="left" w:leader="none"/>
              <w:tab w:pos="1378" w:val="left" w:leader="none"/>
              <w:tab w:pos="9239" w:val="right" w:leader="dot"/>
            </w:tabs>
            <w:spacing w:line="240" w:lineRule="auto" w:before="130" w:after="0"/>
            <w:ind w:left="1377" w:right="0" w:hanging="720"/>
            <w:jc w:val="left"/>
          </w:pPr>
          <w:r>
            <w:rPr/>
            <w:t>Serviceability</w:t>
          </w:r>
          <w:r>
            <w:rPr>
              <w:spacing w:val="-1"/>
            </w:rPr>
            <w:t> </w:t>
          </w:r>
          <w:r>
            <w:rPr/>
            <w:t>Limit</w:t>
          </w:r>
          <w:r>
            <w:rPr>
              <w:spacing w:val="-1"/>
            </w:rPr>
            <w:t> </w:t>
          </w:r>
          <w:r>
            <w:rPr/>
            <w:t>State</w:t>
            <w:tab/>
            <w:t>19</w:t>
          </w:r>
        </w:p>
        <w:p>
          <w:pPr>
            <w:pStyle w:val="TOC1"/>
            <w:numPr>
              <w:ilvl w:val="0"/>
              <w:numId w:val="1"/>
            </w:numPr>
            <w:tabs>
              <w:tab w:pos="657" w:val="left" w:leader="none"/>
              <w:tab w:pos="658" w:val="left" w:leader="none"/>
              <w:tab w:pos="9241" w:val="right" w:leader="dot"/>
            </w:tabs>
            <w:spacing w:line="240" w:lineRule="auto" w:before="207" w:after="0"/>
            <w:ind w:left="657" w:right="0" w:hanging="480"/>
            <w:jc w:val="left"/>
          </w:pPr>
          <w:hyperlink w:history="true" w:anchor="_TOC_250021">
            <w:r>
              <w:rPr/>
              <w:t>Annex A: The Robustness Requirement</w:t>
              <w:tab/>
              <w:t>20</w:t>
            </w:r>
          </w:hyperlink>
        </w:p>
        <w:p>
          <w:pPr>
            <w:pStyle w:val="TOC3"/>
            <w:numPr>
              <w:ilvl w:val="1"/>
              <w:numId w:val="1"/>
            </w:numPr>
            <w:tabs>
              <w:tab w:pos="1137" w:val="left" w:leader="none"/>
              <w:tab w:pos="1138" w:val="left" w:leader="none"/>
              <w:tab w:pos="9239" w:val="right" w:leader="dot"/>
            </w:tabs>
            <w:spacing w:line="240" w:lineRule="auto" w:before="226" w:after="0"/>
            <w:ind w:left="1137" w:right="0" w:hanging="720"/>
            <w:jc w:val="left"/>
          </w:pPr>
          <w:hyperlink w:history="true" w:anchor="_TOC_250020">
            <w:r>
              <w:rPr/>
              <w:t>Introduction</w:t>
              <w:tab/>
              <w:t>20</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19">
            <w:r>
              <w:rPr/>
              <w:t>Structural and</w:t>
            </w:r>
            <w:r>
              <w:rPr>
                <w:spacing w:val="-1"/>
              </w:rPr>
              <w:t> </w:t>
            </w:r>
            <w:r>
              <w:rPr/>
              <w:t>nonstructural</w:t>
            </w:r>
            <w:r>
              <w:rPr>
                <w:spacing w:val="-1"/>
              </w:rPr>
              <w:t> </w:t>
            </w:r>
            <w:r>
              <w:rPr/>
              <w:t>measures</w:t>
              <w:tab/>
              <w:t>20</w:t>
            </w:r>
          </w:hyperlink>
        </w:p>
        <w:p>
          <w:pPr>
            <w:pStyle w:val="TOC3"/>
            <w:numPr>
              <w:ilvl w:val="1"/>
              <w:numId w:val="1"/>
            </w:numPr>
            <w:tabs>
              <w:tab w:pos="1137" w:val="left" w:leader="none"/>
              <w:tab w:pos="1138" w:val="left" w:leader="none"/>
              <w:tab w:pos="9238" w:val="right" w:leader="dot"/>
            </w:tabs>
            <w:spacing w:line="240" w:lineRule="auto" w:before="227" w:after="0"/>
            <w:ind w:left="1137" w:right="0" w:hanging="720"/>
            <w:jc w:val="left"/>
          </w:pPr>
          <w:hyperlink w:history="true" w:anchor="_TOC_250018">
            <w:r>
              <w:rPr/>
              <w:t>Simplified</w:t>
            </w:r>
            <w:r>
              <w:rPr>
                <w:spacing w:val="-1"/>
              </w:rPr>
              <w:t> </w:t>
            </w:r>
            <w:r>
              <w:rPr/>
              <w:t>design</w:t>
            </w:r>
            <w:r>
              <w:rPr>
                <w:spacing w:val="-1"/>
              </w:rPr>
              <w:t> </w:t>
            </w:r>
            <w:r>
              <w:rPr/>
              <w:t>procedure</w:t>
              <w:tab/>
              <w:t>21</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17">
            <w:r>
              <w:rPr/>
              <w:t>Recommendation</w:t>
              <w:tab/>
              <w:t>21</w:t>
            </w:r>
          </w:hyperlink>
        </w:p>
        <w:p>
          <w:pPr>
            <w:pStyle w:val="TOC1"/>
            <w:numPr>
              <w:ilvl w:val="0"/>
              <w:numId w:val="1"/>
            </w:numPr>
            <w:tabs>
              <w:tab w:pos="657" w:val="left" w:leader="none"/>
              <w:tab w:pos="658" w:val="left" w:leader="none"/>
              <w:tab w:pos="9237" w:val="right" w:leader="dot"/>
            </w:tabs>
            <w:spacing w:line="240" w:lineRule="auto" w:before="205" w:after="0"/>
            <w:ind w:left="657" w:right="0" w:hanging="480"/>
            <w:jc w:val="left"/>
          </w:pPr>
          <w:hyperlink w:history="true" w:anchor="_TOC_250016">
            <w:r>
              <w:rPr/>
              <w:t>Annex</w:t>
            </w:r>
            <w:r>
              <w:rPr>
                <w:spacing w:val="-1"/>
              </w:rPr>
              <w:t> </w:t>
            </w:r>
            <w:r>
              <w:rPr/>
              <w:t>B:</w:t>
            </w:r>
            <w:r>
              <w:rPr>
                <w:spacing w:val="-1"/>
              </w:rPr>
              <w:t> </w:t>
            </w:r>
            <w:r>
              <w:rPr/>
              <w:t>Durability</w:t>
              <w:tab/>
              <w:t>23</w:t>
            </w:r>
          </w:hyperlink>
        </w:p>
        <w:p>
          <w:pPr>
            <w:pStyle w:val="TOC3"/>
            <w:numPr>
              <w:ilvl w:val="1"/>
              <w:numId w:val="1"/>
            </w:numPr>
            <w:tabs>
              <w:tab w:pos="1137" w:val="left" w:leader="none"/>
              <w:tab w:pos="1138" w:val="left" w:leader="none"/>
              <w:tab w:pos="9242" w:val="right" w:leader="dot"/>
            </w:tabs>
            <w:spacing w:line="240" w:lineRule="auto" w:before="226" w:after="0"/>
            <w:ind w:left="1137" w:right="0" w:hanging="720"/>
            <w:jc w:val="left"/>
          </w:pPr>
          <w:hyperlink w:history="true" w:anchor="_TOC_250015">
            <w:r>
              <w:rPr/>
              <w:t>Probabilistic</w:t>
            </w:r>
            <w:r>
              <w:rPr>
                <w:spacing w:val="-1"/>
              </w:rPr>
              <w:t> </w:t>
            </w:r>
            <w:r>
              <w:rPr/>
              <w:t>Formulations</w:t>
              <w:tab/>
              <w:t>23</w:t>
            </w:r>
          </w:hyperlink>
        </w:p>
        <w:p>
          <w:pPr>
            <w:pStyle w:val="TOC3"/>
            <w:tabs>
              <w:tab w:pos="1137" w:val="left" w:leader="none"/>
              <w:tab w:pos="9239" w:val="right" w:leader="dot"/>
            </w:tabs>
            <w:ind w:left="417" w:firstLine="0"/>
          </w:pPr>
          <w:hyperlink w:history="true" w:anchor="_TOC_250014">
            <w:r>
              <w:rPr/>
              <w:t>9.2</w:t>
              <w:tab/>
              <w:t>Modelling of</w:t>
            </w:r>
            <w:r>
              <w:rPr>
                <w:spacing w:val="-1"/>
              </w:rPr>
              <w:t> </w:t>
            </w:r>
            <w:r>
              <w:rPr/>
              <w:t>deterioration</w:t>
            </w:r>
            <w:r>
              <w:rPr>
                <w:spacing w:val="-1"/>
              </w:rPr>
              <w:t> </w:t>
            </w:r>
            <w:r>
              <w:rPr/>
              <w:t>processes</w:t>
              <w:tab/>
              <w:t>25</w:t>
            </w:r>
          </w:hyperlink>
        </w:p>
        <w:p>
          <w:pPr>
            <w:pStyle w:val="TOC3"/>
            <w:numPr>
              <w:ilvl w:val="1"/>
              <w:numId w:val="1"/>
            </w:numPr>
            <w:tabs>
              <w:tab w:pos="1137" w:val="left" w:leader="none"/>
              <w:tab w:pos="1138" w:val="left" w:leader="none"/>
              <w:tab w:pos="9239" w:val="right" w:leader="dot"/>
            </w:tabs>
            <w:spacing w:line="240" w:lineRule="auto" w:before="228" w:after="0"/>
            <w:ind w:left="1137" w:right="0" w:hanging="720"/>
            <w:jc w:val="left"/>
          </w:pPr>
          <w:hyperlink w:history="true" w:anchor="_TOC_250013">
            <w:r>
              <w:rPr/>
              <w:t>Effect</w:t>
            </w:r>
            <w:r>
              <w:rPr>
                <w:spacing w:val="-1"/>
              </w:rPr>
              <w:t> </w:t>
            </w:r>
            <w:r>
              <w:rPr/>
              <w:t>of</w:t>
            </w:r>
            <w:r>
              <w:rPr>
                <w:spacing w:val="-2"/>
              </w:rPr>
              <w:t> </w:t>
            </w:r>
            <w:r>
              <w:rPr/>
              <w:t>inspection</w:t>
              <w:tab/>
              <w:t>29</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12">
            <w:r>
              <w:rPr/>
              <w:t>Example</w:t>
              <w:tab/>
              <w:t>30</w:t>
            </w:r>
          </w:hyperlink>
        </w:p>
        <w:p>
          <w:pPr>
            <w:pStyle w:val="TOC1"/>
            <w:numPr>
              <w:ilvl w:val="0"/>
              <w:numId w:val="1"/>
            </w:numPr>
            <w:tabs>
              <w:tab w:pos="897" w:val="left" w:leader="none"/>
              <w:tab w:pos="898" w:val="left" w:leader="none"/>
              <w:tab w:pos="9239" w:val="right" w:leader="dot"/>
            </w:tabs>
            <w:spacing w:line="240" w:lineRule="auto" w:before="204" w:after="0"/>
            <w:ind w:left="897" w:right="0" w:hanging="720"/>
            <w:jc w:val="left"/>
          </w:pPr>
          <w:hyperlink w:history="true" w:anchor="_TOC_250011">
            <w:r>
              <w:rPr/>
              <w:t>Annex C: Reliability Analysis Principles</w:t>
              <w:tab/>
              <w:t>33</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10">
            <w:r>
              <w:rPr/>
              <w:t>Introduction</w:t>
              <w:tab/>
              <w:t>33</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09">
            <w:r>
              <w:rPr/>
              <w:t>Concepts</w:t>
              <w:tab/>
              <w:t>33</w:t>
            </w:r>
          </w:hyperlink>
        </w:p>
        <w:p>
          <w:pPr>
            <w:pStyle w:val="TOC4"/>
            <w:numPr>
              <w:ilvl w:val="2"/>
              <w:numId w:val="1"/>
            </w:numPr>
            <w:tabs>
              <w:tab w:pos="1617" w:val="left" w:leader="none"/>
              <w:tab w:pos="1618" w:val="left" w:leader="none"/>
              <w:tab w:pos="9239" w:val="right" w:leader="dot"/>
            </w:tabs>
            <w:spacing w:line="240" w:lineRule="auto" w:before="128" w:after="0"/>
            <w:ind w:left="1617" w:right="0" w:hanging="960"/>
            <w:jc w:val="left"/>
          </w:pPr>
          <w:r>
            <w:rPr/>
            <w:t>Limit</w:t>
          </w:r>
          <w:r>
            <w:rPr>
              <w:spacing w:val="-1"/>
            </w:rPr>
            <w:t> </w:t>
          </w:r>
          <w:r>
            <w:rPr/>
            <w:t>States</w:t>
            <w:tab/>
            <w:t>33</w:t>
          </w:r>
        </w:p>
        <w:p>
          <w:pPr>
            <w:pStyle w:val="TOC4"/>
            <w:numPr>
              <w:ilvl w:val="2"/>
              <w:numId w:val="1"/>
            </w:numPr>
            <w:tabs>
              <w:tab w:pos="1617" w:val="left" w:leader="none"/>
              <w:tab w:pos="1618" w:val="left" w:leader="none"/>
              <w:tab w:pos="9239" w:val="right" w:leader="dot"/>
            </w:tabs>
            <w:spacing w:line="240" w:lineRule="auto" w:before="130" w:after="0"/>
            <w:ind w:left="1617" w:right="0" w:hanging="960"/>
            <w:jc w:val="left"/>
          </w:pPr>
          <w:r>
            <w:rPr/>
            <w:t>Structural</w:t>
          </w:r>
          <w:r>
            <w:rPr>
              <w:spacing w:val="-1"/>
            </w:rPr>
            <w:t> </w:t>
          </w:r>
          <w:r>
            <w:rPr/>
            <w:t>Reliability</w:t>
            <w:tab/>
            <w:t>34</w:t>
          </w:r>
        </w:p>
        <w:p>
          <w:pPr>
            <w:pStyle w:val="TOC4"/>
            <w:numPr>
              <w:ilvl w:val="2"/>
              <w:numId w:val="1"/>
            </w:numPr>
            <w:tabs>
              <w:tab w:pos="1617" w:val="left" w:leader="none"/>
              <w:tab w:pos="1618" w:val="left" w:leader="none"/>
              <w:tab w:pos="9239" w:val="right" w:leader="dot"/>
            </w:tabs>
            <w:spacing w:line="240" w:lineRule="auto" w:before="130" w:after="0"/>
            <w:ind w:left="1617" w:right="0" w:hanging="960"/>
            <w:jc w:val="left"/>
          </w:pPr>
          <w:r>
            <w:rPr/>
            <w:t>System</w:t>
          </w:r>
          <w:r>
            <w:rPr>
              <w:spacing w:val="-3"/>
            </w:rPr>
            <w:t> </w:t>
          </w:r>
          <w:r>
            <w:rPr/>
            <w:t>Concepts</w:t>
            <w:tab/>
            <w:t>36</w:t>
          </w:r>
        </w:p>
        <w:p>
          <w:pPr>
            <w:pStyle w:val="TOC3"/>
            <w:numPr>
              <w:ilvl w:val="1"/>
              <w:numId w:val="1"/>
            </w:numPr>
            <w:tabs>
              <w:tab w:pos="1137" w:val="left" w:leader="none"/>
              <w:tab w:pos="1138" w:val="left" w:leader="none"/>
              <w:tab w:pos="9239" w:val="right" w:leader="dot"/>
            </w:tabs>
            <w:spacing w:line="240" w:lineRule="auto" w:before="229" w:after="0"/>
            <w:ind w:left="1137" w:right="0" w:hanging="720"/>
            <w:jc w:val="left"/>
          </w:pPr>
          <w:hyperlink w:history="true" w:anchor="_TOC_250008">
            <w:r>
              <w:rPr/>
              <w:t>Component</w:t>
            </w:r>
            <w:r>
              <w:rPr>
                <w:spacing w:val="-1"/>
              </w:rPr>
              <w:t> </w:t>
            </w:r>
            <w:r>
              <w:rPr/>
              <w:t>Reliability</w:t>
            </w:r>
            <w:r>
              <w:rPr>
                <w:spacing w:val="-1"/>
              </w:rPr>
              <w:t> </w:t>
            </w:r>
            <w:r>
              <w:rPr/>
              <w:t>Analysis</w:t>
              <w:tab/>
              <w:t>37</w:t>
            </w:r>
          </w:hyperlink>
        </w:p>
        <w:p>
          <w:pPr>
            <w:pStyle w:val="TOC4"/>
            <w:numPr>
              <w:ilvl w:val="2"/>
              <w:numId w:val="1"/>
            </w:numPr>
            <w:tabs>
              <w:tab w:pos="1617" w:val="left" w:leader="none"/>
              <w:tab w:pos="1618" w:val="left" w:leader="none"/>
              <w:tab w:pos="9239" w:val="right" w:leader="dot"/>
            </w:tabs>
            <w:spacing w:line="240" w:lineRule="auto" w:before="128" w:after="0"/>
            <w:ind w:left="1617" w:right="0" w:hanging="960"/>
            <w:jc w:val="left"/>
          </w:pPr>
          <w:r>
            <w:rPr/>
            <w:t>General Steps</w:t>
            <w:tab/>
            <w:t>37</w:t>
          </w:r>
        </w:p>
        <w:p>
          <w:pPr>
            <w:pStyle w:val="TOC4"/>
            <w:numPr>
              <w:ilvl w:val="2"/>
              <w:numId w:val="1"/>
            </w:numPr>
            <w:tabs>
              <w:tab w:pos="1617" w:val="left" w:leader="none"/>
              <w:tab w:pos="1618" w:val="left" w:leader="none"/>
              <w:tab w:pos="9239" w:val="right" w:leader="dot"/>
            </w:tabs>
            <w:spacing w:line="240" w:lineRule="auto" w:before="130" w:after="0"/>
            <w:ind w:left="1617" w:right="0" w:hanging="960"/>
            <w:jc w:val="left"/>
          </w:pPr>
          <w:r>
            <w:rPr/>
            <w:t>Probabilistic</w:t>
          </w:r>
          <w:r>
            <w:rPr>
              <w:spacing w:val="-1"/>
            </w:rPr>
            <w:t> </w:t>
          </w:r>
          <w:r>
            <w:rPr/>
            <w:t>Modelling</w:t>
            <w:tab/>
            <w:t>38</w:t>
          </w:r>
        </w:p>
        <w:p>
          <w:pPr>
            <w:pStyle w:val="TOC4"/>
            <w:numPr>
              <w:ilvl w:val="2"/>
              <w:numId w:val="1"/>
            </w:numPr>
            <w:tabs>
              <w:tab w:pos="1617" w:val="left" w:leader="none"/>
              <w:tab w:pos="1618" w:val="left" w:leader="none"/>
              <w:tab w:pos="9238" w:val="right" w:leader="dot"/>
            </w:tabs>
            <w:spacing w:line="240" w:lineRule="auto" w:before="130" w:after="0"/>
            <w:ind w:left="1617" w:right="0" w:hanging="960"/>
            <w:jc w:val="left"/>
          </w:pPr>
          <w:r>
            <w:rPr/>
            <w:t>Computation of Failure Probability</w:t>
            <w:tab/>
            <w:t>41</w:t>
          </w:r>
        </w:p>
        <w:p>
          <w:pPr>
            <w:pStyle w:val="TOC4"/>
            <w:numPr>
              <w:ilvl w:val="2"/>
              <w:numId w:val="1"/>
            </w:numPr>
            <w:tabs>
              <w:tab w:pos="1617" w:val="left" w:leader="none"/>
              <w:tab w:pos="1618" w:val="left" w:leader="none"/>
              <w:tab w:pos="9239" w:val="right" w:leader="dot"/>
            </w:tabs>
            <w:spacing w:line="240" w:lineRule="auto" w:before="130" w:after="0"/>
            <w:ind w:left="1617" w:right="0" w:hanging="960"/>
            <w:jc w:val="left"/>
          </w:pPr>
          <w:r>
            <w:rPr/>
            <w:t>Recommendations</w:t>
            <w:tab/>
            <w:t>44</w:t>
          </w:r>
        </w:p>
        <w:p>
          <w:pPr>
            <w:pStyle w:val="TOC3"/>
            <w:numPr>
              <w:ilvl w:val="1"/>
              <w:numId w:val="1"/>
            </w:numPr>
            <w:tabs>
              <w:tab w:pos="1137" w:val="left" w:leader="none"/>
              <w:tab w:pos="1138" w:val="left" w:leader="none"/>
              <w:tab w:pos="9239" w:val="right" w:leader="dot"/>
            </w:tabs>
            <w:spacing w:line="240" w:lineRule="auto" w:before="229" w:after="0"/>
            <w:ind w:left="1137" w:right="0" w:hanging="720"/>
            <w:jc w:val="left"/>
          </w:pPr>
          <w:hyperlink w:history="true" w:anchor="_TOC_250007">
            <w:r>
              <w:rPr/>
              <w:t>System</w:t>
            </w:r>
            <w:r>
              <w:rPr>
                <w:spacing w:val="-1"/>
              </w:rPr>
              <w:t> </w:t>
            </w:r>
            <w:r>
              <w:rPr/>
              <w:t>Reliability</w:t>
            </w:r>
            <w:r>
              <w:rPr>
                <w:spacing w:val="-1"/>
              </w:rPr>
              <w:t> </w:t>
            </w:r>
            <w:r>
              <w:rPr/>
              <w:t>Analysis</w:t>
              <w:tab/>
              <w:t>45</w:t>
            </w:r>
          </w:hyperlink>
        </w:p>
        <w:p>
          <w:pPr>
            <w:pStyle w:val="TOC4"/>
            <w:numPr>
              <w:ilvl w:val="2"/>
              <w:numId w:val="1"/>
            </w:numPr>
            <w:tabs>
              <w:tab w:pos="1617" w:val="left" w:leader="none"/>
              <w:tab w:pos="1618" w:val="left" w:leader="none"/>
              <w:tab w:pos="9239" w:val="right" w:leader="dot"/>
            </w:tabs>
            <w:spacing w:line="240" w:lineRule="auto" w:before="128" w:after="0"/>
            <w:ind w:left="1617" w:right="0" w:hanging="960"/>
            <w:jc w:val="left"/>
          </w:pPr>
          <w:r>
            <w:rPr/>
            <w:t>Series</w:t>
          </w:r>
          <w:r>
            <w:rPr>
              <w:spacing w:val="-1"/>
            </w:rPr>
            <w:t> </w:t>
          </w:r>
          <w:r>
            <w:rPr/>
            <w:t>systems</w:t>
            <w:tab/>
            <w:t>45</w:t>
          </w:r>
        </w:p>
        <w:p>
          <w:pPr>
            <w:pStyle w:val="TOC4"/>
            <w:numPr>
              <w:ilvl w:val="2"/>
              <w:numId w:val="1"/>
            </w:numPr>
            <w:tabs>
              <w:tab w:pos="1617" w:val="left" w:leader="none"/>
              <w:tab w:pos="1618" w:val="left" w:leader="none"/>
              <w:tab w:pos="9239" w:val="right" w:leader="dot"/>
            </w:tabs>
            <w:spacing w:line="240" w:lineRule="auto" w:before="130" w:after="0"/>
            <w:ind w:left="1617" w:right="0" w:hanging="960"/>
            <w:jc w:val="left"/>
          </w:pPr>
          <w:r>
            <w:rPr/>
            <w:t>Parallel</w:t>
          </w:r>
          <w:r>
            <w:rPr>
              <w:spacing w:val="-1"/>
            </w:rPr>
            <w:t> </w:t>
          </w:r>
          <w:r>
            <w:rPr/>
            <w:t>Systems.</w:t>
            <w:tab/>
            <w:t>46</w:t>
          </w:r>
        </w:p>
        <w:p>
          <w:pPr>
            <w:pStyle w:val="TOC3"/>
            <w:numPr>
              <w:ilvl w:val="1"/>
              <w:numId w:val="1"/>
            </w:numPr>
            <w:tabs>
              <w:tab w:pos="1137" w:val="left" w:leader="none"/>
              <w:tab w:pos="1138" w:val="left" w:leader="none"/>
              <w:tab w:pos="9239" w:val="right" w:leader="dot"/>
            </w:tabs>
            <w:spacing w:line="240" w:lineRule="auto" w:before="229" w:after="0"/>
            <w:ind w:left="1137" w:right="0" w:hanging="720"/>
            <w:jc w:val="left"/>
          </w:pPr>
          <w:hyperlink w:history="true" w:anchor="_TOC_250006">
            <w:r>
              <w:rPr/>
              <w:t>Time-Dependent</w:t>
            </w:r>
            <w:r>
              <w:rPr>
                <w:spacing w:val="-1"/>
              </w:rPr>
              <w:t> </w:t>
            </w:r>
            <w:r>
              <w:rPr/>
              <w:t>Reliability</w:t>
              <w:tab/>
              <w:t>46</w:t>
            </w:r>
          </w:hyperlink>
        </w:p>
        <w:p>
          <w:pPr>
            <w:pStyle w:val="TOC4"/>
            <w:numPr>
              <w:ilvl w:val="2"/>
              <w:numId w:val="1"/>
            </w:numPr>
            <w:tabs>
              <w:tab w:pos="1617" w:val="left" w:leader="none"/>
              <w:tab w:pos="1618" w:val="left" w:leader="none"/>
              <w:tab w:pos="9239" w:val="right" w:leader="dot"/>
            </w:tabs>
            <w:spacing w:line="240" w:lineRule="auto" w:before="128" w:after="0"/>
            <w:ind w:left="1617" w:right="0" w:hanging="960"/>
            <w:jc w:val="left"/>
          </w:pPr>
          <w:r>
            <w:rPr/>
            <w:t>General</w:t>
          </w:r>
          <w:r>
            <w:rPr>
              <w:spacing w:val="-1"/>
            </w:rPr>
            <w:t> </w:t>
          </w:r>
          <w:r>
            <w:rPr/>
            <w:t>Remarks</w:t>
            <w:tab/>
            <w:t>46</w:t>
          </w:r>
        </w:p>
        <w:p>
          <w:pPr>
            <w:pStyle w:val="TOC4"/>
            <w:numPr>
              <w:ilvl w:val="2"/>
              <w:numId w:val="1"/>
            </w:numPr>
            <w:tabs>
              <w:tab w:pos="1617" w:val="left" w:leader="none"/>
              <w:tab w:pos="1618" w:val="left" w:leader="none"/>
              <w:tab w:pos="9237" w:val="right" w:leader="dot"/>
            </w:tabs>
            <w:spacing w:line="240" w:lineRule="auto" w:before="130" w:after="0"/>
            <w:ind w:left="1617" w:right="0" w:hanging="960"/>
            <w:jc w:val="left"/>
          </w:pPr>
          <w:r>
            <w:rPr/>
            <w:t>Transformation to</w:t>
          </w:r>
          <w:r>
            <w:rPr>
              <w:spacing w:val="-1"/>
            </w:rPr>
            <w:t> </w:t>
          </w:r>
          <w:r>
            <w:rPr/>
            <w:t>Time-Independent</w:t>
          </w:r>
          <w:r>
            <w:rPr>
              <w:spacing w:val="-1"/>
            </w:rPr>
            <w:t> </w:t>
          </w:r>
          <w:r>
            <w:rPr/>
            <w:t>Formulations</w:t>
            <w:tab/>
            <w:t>48</w:t>
          </w:r>
        </w:p>
        <w:p>
          <w:pPr>
            <w:pStyle w:val="TOC4"/>
            <w:numPr>
              <w:ilvl w:val="2"/>
              <w:numId w:val="1"/>
            </w:numPr>
            <w:tabs>
              <w:tab w:pos="1617" w:val="left" w:leader="none"/>
              <w:tab w:pos="1618" w:val="left" w:leader="none"/>
              <w:tab w:pos="9239" w:val="right" w:leader="dot"/>
            </w:tabs>
            <w:spacing w:line="240" w:lineRule="auto" w:before="130" w:after="0"/>
            <w:ind w:left="1617" w:right="0" w:hanging="960"/>
            <w:jc w:val="left"/>
          </w:pPr>
          <w:r>
            <w:rPr/>
            <w:t>Introduction to Crossing Theory</w:t>
            <w:tab/>
            <w:t>50</w:t>
          </w:r>
        </w:p>
        <w:p>
          <w:pPr>
            <w:pStyle w:val="TOC3"/>
            <w:numPr>
              <w:ilvl w:val="1"/>
              <w:numId w:val="1"/>
            </w:numPr>
            <w:tabs>
              <w:tab w:pos="1137" w:val="left" w:leader="none"/>
              <w:tab w:pos="1138" w:val="left" w:leader="none"/>
              <w:tab w:pos="9239" w:val="right" w:leader="dot"/>
            </w:tabs>
            <w:spacing w:line="240" w:lineRule="auto" w:before="229" w:after="0"/>
            <w:ind w:left="1137" w:right="0" w:hanging="720"/>
            <w:jc w:val="left"/>
          </w:pPr>
          <w:hyperlink w:history="true" w:anchor="_TOC_250005">
            <w:r>
              <w:rPr/>
              <w:t>Figures</w:t>
              <w:tab/>
              <w:t>52</w:t>
            </w:r>
          </w:hyperlink>
        </w:p>
        <w:p>
          <w:pPr>
            <w:pStyle w:val="TOC3"/>
            <w:numPr>
              <w:ilvl w:val="1"/>
              <w:numId w:val="1"/>
            </w:numPr>
            <w:tabs>
              <w:tab w:pos="1137" w:val="left" w:leader="none"/>
              <w:tab w:pos="1138" w:val="left" w:leader="none"/>
              <w:tab w:pos="9239" w:val="right" w:leader="dot"/>
            </w:tabs>
            <w:spacing w:line="240" w:lineRule="auto" w:before="227" w:after="240"/>
            <w:ind w:left="1137" w:right="0" w:hanging="720"/>
            <w:jc w:val="left"/>
          </w:pPr>
          <w:hyperlink w:history="true" w:anchor="_TOC_250004">
            <w:r>
              <w:rPr/>
              <w:t>Bibliography</w:t>
              <w:tab/>
              <w:t>57</w:t>
            </w:r>
          </w:hyperlink>
        </w:p>
        <w:p>
          <w:pPr>
            <w:pStyle w:val="TOC1"/>
            <w:numPr>
              <w:ilvl w:val="0"/>
              <w:numId w:val="1"/>
            </w:numPr>
            <w:tabs>
              <w:tab w:pos="897" w:val="left" w:leader="none"/>
              <w:tab w:pos="898" w:val="left" w:leader="none"/>
              <w:tab w:pos="9237" w:val="right" w:leader="dot"/>
            </w:tabs>
            <w:spacing w:line="240" w:lineRule="auto" w:before="64" w:after="0"/>
            <w:ind w:left="897" w:right="0" w:hanging="720"/>
            <w:jc w:val="left"/>
          </w:pPr>
          <w:hyperlink w:history="true" w:anchor="_TOC_250003">
            <w:r>
              <w:rPr/>
              <w:t>Annex D:Bayesian Interpretation</w:t>
            </w:r>
            <w:r>
              <w:rPr>
                <w:spacing w:val="-4"/>
              </w:rPr>
              <w:t> </w:t>
            </w:r>
            <w:r>
              <w:rPr/>
              <w:t>of</w:t>
            </w:r>
            <w:r>
              <w:rPr>
                <w:spacing w:val="-1"/>
              </w:rPr>
              <w:t> </w:t>
            </w:r>
            <w:r>
              <w:rPr/>
              <w:t>Probabilities</w:t>
              <w:tab/>
              <w:t>59</w:t>
            </w:r>
          </w:hyperlink>
        </w:p>
        <w:p>
          <w:pPr>
            <w:pStyle w:val="TOC3"/>
            <w:numPr>
              <w:ilvl w:val="1"/>
              <w:numId w:val="1"/>
            </w:numPr>
            <w:tabs>
              <w:tab w:pos="1137" w:val="left" w:leader="none"/>
              <w:tab w:pos="1138" w:val="left" w:leader="none"/>
              <w:tab w:pos="9239" w:val="right" w:leader="dot"/>
            </w:tabs>
            <w:spacing w:line="240" w:lineRule="auto" w:before="226" w:after="0"/>
            <w:ind w:left="1137" w:right="0" w:hanging="720"/>
            <w:jc w:val="left"/>
          </w:pPr>
          <w:hyperlink w:history="true" w:anchor="_TOC_250002">
            <w:r>
              <w:rPr/>
              <w:t>Introduction</w:t>
              <w:tab/>
              <w:t>59</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01">
            <w:r>
              <w:rPr/>
              <w:t>Discussion</w:t>
              <w:tab/>
              <w:t>59</w:t>
            </w:r>
          </w:hyperlink>
        </w:p>
        <w:p>
          <w:pPr>
            <w:pStyle w:val="TOC3"/>
            <w:numPr>
              <w:ilvl w:val="1"/>
              <w:numId w:val="1"/>
            </w:numPr>
            <w:tabs>
              <w:tab w:pos="1137" w:val="left" w:leader="none"/>
              <w:tab w:pos="1138" w:val="left" w:leader="none"/>
              <w:tab w:pos="9239" w:val="right" w:leader="dot"/>
            </w:tabs>
            <w:spacing w:line="240" w:lineRule="auto" w:before="227" w:after="0"/>
            <w:ind w:left="1137" w:right="0" w:hanging="720"/>
            <w:jc w:val="left"/>
          </w:pPr>
          <w:hyperlink w:history="true" w:anchor="_TOC_250000">
            <w:r>
              <w:rPr/>
              <w:t>Conclusion</w:t>
              <w:tab/>
              <w:t>61</w:t>
            </w:r>
          </w:hyperlink>
        </w:p>
      </w:sdtContent>
    </w:sdt>
    <w:p>
      <w:pPr>
        <w:spacing w:after="0" w:line="240" w:lineRule="auto"/>
        <w:jc w:val="left"/>
        <w:sectPr>
          <w:type w:val="continuous"/>
          <w:pgSz w:w="11910" w:h="16840"/>
          <w:pgMar w:top="1460" w:bottom="705" w:left="1240" w:right="1300"/>
        </w:sectPr>
      </w:pPr>
    </w:p>
    <w:p>
      <w:pPr>
        <w:pStyle w:val="Heading2"/>
        <w:numPr>
          <w:ilvl w:val="0"/>
          <w:numId w:val="2"/>
        </w:numPr>
        <w:tabs>
          <w:tab w:pos="538" w:val="left" w:leader="none"/>
        </w:tabs>
        <w:spacing w:line="240" w:lineRule="auto" w:before="64" w:after="0"/>
        <w:ind w:left="537" w:right="0" w:hanging="360"/>
        <w:jc w:val="left"/>
      </w:pPr>
      <w:bookmarkStart w:name="_TOC_250049" w:id="1"/>
      <w:bookmarkEnd w:id="1"/>
      <w:r>
        <w:rPr/>
        <w:t>Introduction</w:t>
      </w:r>
    </w:p>
    <w:p>
      <w:pPr>
        <w:pStyle w:val="BodyText"/>
        <w:spacing w:before="4"/>
        <w:rPr>
          <w:b/>
          <w:sz w:val="38"/>
        </w:rPr>
      </w:pPr>
    </w:p>
    <w:p>
      <w:pPr>
        <w:pStyle w:val="BodyText"/>
        <w:spacing w:line="312" w:lineRule="auto" w:before="1"/>
        <w:ind w:left="177" w:right="112"/>
        <w:jc w:val="both"/>
      </w:pPr>
      <w:r>
        <w:rPr/>
        <w:t>This part treats the general principles for a probabilistic design of load bearing structures. The more detailed aspects dealing with the probabilistic description of loads are treated in part 2. In the same way the probabilistic description of structural resistance parameters is treated in part 3.</w:t>
      </w:r>
    </w:p>
    <w:p>
      <w:pPr>
        <w:pStyle w:val="BodyText"/>
        <w:spacing w:line="312" w:lineRule="auto" w:before="5"/>
        <w:ind w:left="177" w:right="111"/>
        <w:jc w:val="both"/>
      </w:pPr>
      <w:r>
        <w:rPr/>
        <w:t>This part doesn’t give detailed information about methods for the calculation of probabilities. It is assumed that the user of a probabilistic code is familiar with such methods. A clause on the interpretation of probabilities treated in this document is provided in Annex D.</w:t>
      </w:r>
    </w:p>
    <w:p>
      <w:pPr>
        <w:pStyle w:val="BodyText"/>
        <w:rPr>
          <w:sz w:val="26"/>
        </w:rPr>
      </w:pPr>
    </w:p>
    <w:p>
      <w:pPr>
        <w:pStyle w:val="BodyText"/>
        <w:spacing w:before="8"/>
        <w:rPr>
          <w:sz w:val="26"/>
        </w:rPr>
      </w:pPr>
    </w:p>
    <w:p>
      <w:pPr>
        <w:pStyle w:val="Heading2"/>
        <w:numPr>
          <w:ilvl w:val="0"/>
          <w:numId w:val="2"/>
        </w:numPr>
        <w:tabs>
          <w:tab w:pos="538" w:val="left" w:leader="none"/>
        </w:tabs>
        <w:spacing w:line="240" w:lineRule="auto" w:before="0" w:after="0"/>
        <w:ind w:left="537" w:right="0" w:hanging="360"/>
        <w:jc w:val="left"/>
      </w:pPr>
      <w:bookmarkStart w:name="_TOC_250048" w:id="2"/>
      <w:bookmarkEnd w:id="2"/>
      <w:r>
        <w:rPr/>
        <w:t>Requirements</w:t>
      </w:r>
    </w:p>
    <w:p>
      <w:pPr>
        <w:pStyle w:val="Heading2"/>
        <w:numPr>
          <w:ilvl w:val="1"/>
          <w:numId w:val="2"/>
        </w:numPr>
        <w:tabs>
          <w:tab w:pos="1084" w:val="left" w:leader="none"/>
          <w:tab w:pos="1085" w:val="left" w:leader="none"/>
        </w:tabs>
        <w:spacing w:line="240" w:lineRule="auto" w:before="204" w:after="0"/>
        <w:ind w:left="1084" w:right="0" w:hanging="907"/>
        <w:jc w:val="left"/>
      </w:pPr>
      <w:bookmarkStart w:name="_TOC_250047" w:id="3"/>
      <w:bookmarkEnd w:id="3"/>
      <w:r>
        <w:rPr/>
        <w:t>Basic requirements</w:t>
      </w:r>
    </w:p>
    <w:p>
      <w:pPr>
        <w:pStyle w:val="BodyText"/>
        <w:spacing w:line="312" w:lineRule="auto" w:before="201"/>
        <w:ind w:left="177" w:right="111"/>
        <w:jc w:val="both"/>
      </w:pPr>
      <w:r>
        <w:rPr/>
        <w:t>Structures and structural elements shall be designed, constructed and maintained in such a way that they are suited for their use during the design working life and in an economic</w:t>
      </w:r>
      <w:r>
        <w:rPr>
          <w:spacing w:val="-2"/>
        </w:rPr>
        <w:t> </w:t>
      </w:r>
      <w:r>
        <w:rPr/>
        <w:t>way.</w:t>
      </w:r>
    </w:p>
    <w:p>
      <w:pPr>
        <w:pStyle w:val="BodyText"/>
        <w:spacing w:before="6"/>
        <w:rPr>
          <w:sz w:val="31"/>
        </w:rPr>
      </w:pPr>
    </w:p>
    <w:p>
      <w:pPr>
        <w:pStyle w:val="BodyText"/>
        <w:spacing w:line="312" w:lineRule="auto"/>
        <w:ind w:left="177" w:right="112"/>
        <w:jc w:val="both"/>
      </w:pPr>
      <w:r>
        <w:rPr/>
        <w:t>In particular they shall, with appropriate levels of reliability, fulfil the  following requirements:</w:t>
      </w:r>
    </w:p>
    <w:p>
      <w:pPr>
        <w:pStyle w:val="BodyText"/>
        <w:spacing w:before="6"/>
        <w:rPr>
          <w:sz w:val="31"/>
        </w:rPr>
      </w:pPr>
    </w:p>
    <w:p>
      <w:pPr>
        <w:pStyle w:val="ListParagraph"/>
        <w:numPr>
          <w:ilvl w:val="0"/>
          <w:numId w:val="3"/>
        </w:numPr>
        <w:tabs>
          <w:tab w:pos="886" w:val="left" w:leader="none"/>
          <w:tab w:pos="887" w:val="left" w:leader="none"/>
        </w:tabs>
        <w:spacing w:line="312" w:lineRule="auto" w:before="0" w:after="0"/>
        <w:ind w:left="886" w:right="113" w:hanging="709"/>
        <w:jc w:val="left"/>
        <w:rPr>
          <w:sz w:val="24"/>
        </w:rPr>
      </w:pPr>
      <w:r>
        <w:rPr>
          <w:sz w:val="24"/>
        </w:rPr>
        <w:t>They shall remain fit for the use for which they are required (</w:t>
      </w:r>
      <w:r>
        <w:rPr>
          <w:i/>
          <w:sz w:val="24"/>
        </w:rPr>
        <w:t>serviceability limit state requirement</w:t>
      </w:r>
      <w:r>
        <w:rPr>
          <w:sz w:val="24"/>
        </w:rPr>
        <w:t>)</w:t>
      </w:r>
    </w:p>
    <w:p>
      <w:pPr>
        <w:pStyle w:val="ListParagraph"/>
        <w:numPr>
          <w:ilvl w:val="0"/>
          <w:numId w:val="3"/>
        </w:numPr>
        <w:tabs>
          <w:tab w:pos="886" w:val="left" w:leader="none"/>
          <w:tab w:pos="887" w:val="left" w:leader="none"/>
        </w:tabs>
        <w:spacing w:line="312" w:lineRule="auto" w:before="3" w:after="0"/>
        <w:ind w:left="886" w:right="109" w:hanging="709"/>
        <w:jc w:val="left"/>
        <w:rPr>
          <w:sz w:val="24"/>
        </w:rPr>
      </w:pPr>
      <w:r>
        <w:rPr>
          <w:sz w:val="24"/>
        </w:rPr>
        <w:t>They shall withstand extreme and/or frequently repeated actions occurring during their construction and anticipated use (</w:t>
      </w:r>
      <w:r>
        <w:rPr>
          <w:i/>
          <w:sz w:val="24"/>
        </w:rPr>
        <w:t>ultimate limit state</w:t>
      </w:r>
      <w:r>
        <w:rPr>
          <w:i/>
          <w:spacing w:val="-2"/>
          <w:sz w:val="24"/>
        </w:rPr>
        <w:t> </w:t>
      </w:r>
      <w:r>
        <w:rPr>
          <w:i/>
          <w:sz w:val="24"/>
        </w:rPr>
        <w:t>requirement</w:t>
      </w:r>
      <w:r>
        <w:rPr>
          <w:sz w:val="24"/>
        </w:rPr>
        <w:t>)</w:t>
      </w:r>
    </w:p>
    <w:p>
      <w:pPr>
        <w:pStyle w:val="ListParagraph"/>
        <w:numPr>
          <w:ilvl w:val="0"/>
          <w:numId w:val="3"/>
        </w:numPr>
        <w:tabs>
          <w:tab w:pos="887" w:val="left" w:leader="none"/>
        </w:tabs>
        <w:spacing w:line="312" w:lineRule="auto" w:before="2" w:after="0"/>
        <w:ind w:left="886" w:right="111" w:hanging="709"/>
        <w:jc w:val="both"/>
        <w:rPr>
          <w:sz w:val="24"/>
        </w:rPr>
      </w:pPr>
      <w:r>
        <w:rPr>
          <w:sz w:val="24"/>
        </w:rPr>
        <w:t>They shall not be damaged by accidental events like fire, explosions, impact or consequences of human errors, to an extent disproportionate to the triggering event (</w:t>
      </w:r>
      <w:r>
        <w:rPr>
          <w:i/>
          <w:sz w:val="24"/>
        </w:rPr>
        <w:t>robustness requirement</w:t>
      </w:r>
      <w:r>
        <w:rPr>
          <w:sz w:val="24"/>
        </w:rPr>
        <w:t>, see Annex</w:t>
      </w:r>
      <w:r>
        <w:rPr>
          <w:spacing w:val="-3"/>
          <w:sz w:val="24"/>
        </w:rPr>
        <w:t> </w:t>
      </w:r>
      <w:r>
        <w:rPr>
          <w:sz w:val="24"/>
        </w:rPr>
        <w:t>A).</w:t>
      </w:r>
    </w:p>
    <w:p>
      <w:pPr>
        <w:pStyle w:val="BodyText"/>
        <w:rPr>
          <w:sz w:val="26"/>
        </w:rPr>
      </w:pPr>
    </w:p>
    <w:p>
      <w:pPr>
        <w:pStyle w:val="Heading2"/>
        <w:numPr>
          <w:ilvl w:val="1"/>
          <w:numId w:val="2"/>
        </w:numPr>
        <w:tabs>
          <w:tab w:pos="1084" w:val="left" w:leader="none"/>
          <w:tab w:pos="1085" w:val="left" w:leader="none"/>
        </w:tabs>
        <w:spacing w:line="240" w:lineRule="auto" w:before="187" w:after="0"/>
        <w:ind w:left="1084" w:right="0" w:hanging="907"/>
        <w:jc w:val="left"/>
      </w:pPr>
      <w:bookmarkStart w:name="_TOC_250046" w:id="4"/>
      <w:bookmarkEnd w:id="4"/>
      <w:r>
        <w:rPr/>
        <w:t>Reliability differentiation</w:t>
      </w:r>
    </w:p>
    <w:p>
      <w:pPr>
        <w:pStyle w:val="BodyText"/>
        <w:spacing w:line="312" w:lineRule="auto" w:before="202"/>
        <w:ind w:left="177" w:right="111"/>
        <w:jc w:val="both"/>
      </w:pPr>
      <w:r>
        <w:rPr/>
        <w:t>The expression "</w:t>
      </w:r>
      <w:r>
        <w:rPr>
          <w:i/>
        </w:rPr>
        <w:t>with appropriate levels of reliability</w:t>
      </w:r>
      <w:r>
        <w:rPr/>
        <w:t>" used above means that the degree of reliability should be adopted to suit the use of the structure, the type of structure or structural element and the situation considered in the design, etc.</w:t>
      </w:r>
    </w:p>
    <w:p>
      <w:pPr>
        <w:pStyle w:val="BodyText"/>
        <w:spacing w:before="7"/>
        <w:rPr>
          <w:sz w:val="31"/>
        </w:rPr>
      </w:pPr>
    </w:p>
    <w:p>
      <w:pPr>
        <w:pStyle w:val="BodyText"/>
        <w:spacing w:line="312" w:lineRule="auto"/>
        <w:ind w:left="177" w:right="111"/>
        <w:jc w:val="both"/>
      </w:pPr>
      <w:r>
        <w:rPr/>
        <w:t>The choice of the various levels of reliability should take into account the possible consequences of failure in terms of risk to life or injury, the potential economic losses and the degree of social inconvenience, as described in chapter 8. It should also take into account the amount of expense and effort required to reduce the risk of failure. It is further noted, that the</w:t>
      </w:r>
    </w:p>
    <w:p>
      <w:pPr>
        <w:spacing w:after="0" w:line="312" w:lineRule="auto"/>
        <w:jc w:val="both"/>
        <w:sectPr>
          <w:footerReference w:type="default" r:id="rId5"/>
          <w:pgSz w:w="11910" w:h="16840"/>
          <w:pgMar w:footer="788" w:header="0" w:top="1460" w:bottom="980" w:left="1240" w:right="1300"/>
          <w:pgNumType w:start="3"/>
        </w:sectPr>
      </w:pPr>
    </w:p>
    <w:p>
      <w:pPr>
        <w:pStyle w:val="BodyText"/>
        <w:spacing w:line="312" w:lineRule="auto" w:before="62"/>
        <w:ind w:left="177" w:right="111"/>
        <w:jc w:val="both"/>
      </w:pPr>
      <w:r>
        <w:rPr/>
        <w:t>term "failure" as used in this document refers to either inadequate strength or inadequate serviceability of the structure.</w:t>
      </w:r>
    </w:p>
    <w:p>
      <w:pPr>
        <w:pStyle w:val="BodyText"/>
        <w:spacing w:before="5"/>
        <w:rPr>
          <w:sz w:val="31"/>
        </w:rPr>
      </w:pPr>
    </w:p>
    <w:p>
      <w:pPr>
        <w:pStyle w:val="BodyText"/>
        <w:spacing w:line="312" w:lineRule="auto" w:before="1"/>
        <w:ind w:left="177" w:right="113"/>
        <w:jc w:val="both"/>
      </w:pPr>
      <w:r>
        <w:rPr/>
        <w:t>The consequences of a failure generally depend on the mode of failure, specially in those cases when the risk to human life or injury</w:t>
      </w:r>
      <w:r>
        <w:rPr>
          <w:spacing w:val="-1"/>
        </w:rPr>
        <w:t> </w:t>
      </w:r>
      <w:r>
        <w:rPr/>
        <w:t>exists.</w:t>
      </w:r>
    </w:p>
    <w:p>
      <w:pPr>
        <w:pStyle w:val="BodyText"/>
        <w:spacing w:before="5"/>
        <w:rPr>
          <w:sz w:val="31"/>
        </w:rPr>
      </w:pPr>
    </w:p>
    <w:p>
      <w:pPr>
        <w:pStyle w:val="BodyText"/>
        <w:spacing w:line="312" w:lineRule="auto" w:before="1"/>
        <w:ind w:left="177" w:right="109"/>
        <w:jc w:val="both"/>
      </w:pPr>
      <w:r>
        <w:rPr/>
        <w:t>In order to provide a structure corresponding to the requirements and to the assumptions made in the design, appropriate </w:t>
      </w:r>
      <w:r>
        <w:rPr>
          <w:i/>
        </w:rPr>
        <w:t>quality measures </w:t>
      </w:r>
      <w:r>
        <w:rPr/>
        <w:t>shall be adopted. These measures comprise definition of reliability requirements, organisational measures and controls at the stages of design, execution and use and the maintenance of the structure.</w:t>
      </w:r>
    </w:p>
    <w:p>
      <w:pPr>
        <w:pStyle w:val="BodyText"/>
        <w:rPr>
          <w:sz w:val="26"/>
        </w:rPr>
      </w:pPr>
    </w:p>
    <w:p>
      <w:pPr>
        <w:pStyle w:val="Heading2"/>
        <w:numPr>
          <w:ilvl w:val="1"/>
          <w:numId w:val="2"/>
        </w:numPr>
        <w:tabs>
          <w:tab w:pos="1084" w:val="left" w:leader="none"/>
          <w:tab w:pos="1085" w:val="left" w:leader="none"/>
        </w:tabs>
        <w:spacing w:line="240" w:lineRule="auto" w:before="188" w:after="0"/>
        <w:ind w:left="1084" w:right="0" w:hanging="907"/>
        <w:jc w:val="left"/>
      </w:pPr>
      <w:bookmarkStart w:name="_TOC_250045" w:id="5"/>
      <w:bookmarkEnd w:id="5"/>
      <w:r>
        <w:rPr/>
        <w:t>Requirements for durability</w:t>
      </w:r>
    </w:p>
    <w:p>
      <w:pPr>
        <w:pStyle w:val="BodyText"/>
        <w:spacing w:line="312" w:lineRule="auto" w:before="202"/>
        <w:ind w:left="177" w:right="111"/>
        <w:jc w:val="both"/>
      </w:pPr>
      <w:r>
        <w:rPr/>
        <w:t>The durability of the structure in its environment shall be such that it remains fit for use during its design working life. This requirement can be considered in one of the following ways:</w:t>
      </w:r>
    </w:p>
    <w:p>
      <w:pPr>
        <w:pStyle w:val="BodyText"/>
        <w:spacing w:before="7"/>
        <w:rPr>
          <w:sz w:val="31"/>
        </w:rPr>
      </w:pPr>
    </w:p>
    <w:p>
      <w:pPr>
        <w:pStyle w:val="ListParagraph"/>
        <w:numPr>
          <w:ilvl w:val="0"/>
          <w:numId w:val="4"/>
        </w:numPr>
        <w:tabs>
          <w:tab w:pos="886" w:val="left" w:leader="none"/>
          <w:tab w:pos="887" w:val="left" w:leader="none"/>
        </w:tabs>
        <w:spacing w:line="312" w:lineRule="auto" w:before="0" w:after="0"/>
        <w:ind w:left="886" w:right="113" w:hanging="709"/>
        <w:jc w:val="left"/>
        <w:rPr>
          <w:sz w:val="24"/>
        </w:rPr>
      </w:pPr>
      <w:r>
        <w:rPr>
          <w:sz w:val="24"/>
        </w:rPr>
        <w:t>By using materials that, if well maintained, will not degenerate during the design working</w:t>
      </w:r>
      <w:r>
        <w:rPr>
          <w:spacing w:val="-2"/>
          <w:sz w:val="24"/>
        </w:rPr>
        <w:t> </w:t>
      </w:r>
      <w:r>
        <w:rPr>
          <w:sz w:val="24"/>
        </w:rPr>
        <w:t>life.</w:t>
      </w:r>
    </w:p>
    <w:p>
      <w:pPr>
        <w:pStyle w:val="ListParagraph"/>
        <w:numPr>
          <w:ilvl w:val="0"/>
          <w:numId w:val="4"/>
        </w:numPr>
        <w:tabs>
          <w:tab w:pos="886" w:val="left" w:leader="none"/>
          <w:tab w:pos="887" w:val="left" w:leader="none"/>
        </w:tabs>
        <w:spacing w:line="312" w:lineRule="auto" w:before="2" w:after="0"/>
        <w:ind w:left="886" w:right="113" w:hanging="709"/>
        <w:jc w:val="left"/>
        <w:rPr>
          <w:sz w:val="24"/>
        </w:rPr>
      </w:pPr>
      <w:r>
        <w:rPr>
          <w:sz w:val="24"/>
        </w:rPr>
        <w:t>By giving such dimensions that deterioration during the design working life is compensated.</w:t>
      </w:r>
    </w:p>
    <w:p>
      <w:pPr>
        <w:pStyle w:val="ListParagraph"/>
        <w:numPr>
          <w:ilvl w:val="0"/>
          <w:numId w:val="4"/>
        </w:numPr>
        <w:tabs>
          <w:tab w:pos="886" w:val="left" w:leader="none"/>
          <w:tab w:pos="887" w:val="left" w:leader="none"/>
        </w:tabs>
        <w:spacing w:line="312" w:lineRule="auto" w:before="3" w:after="0"/>
        <w:ind w:left="886" w:right="112" w:hanging="709"/>
        <w:jc w:val="left"/>
        <w:rPr>
          <w:sz w:val="24"/>
        </w:rPr>
      </w:pPr>
      <w:r>
        <w:rPr>
          <w:sz w:val="24"/>
        </w:rPr>
        <w:t>By chosing a shorter lifetime for structural elements, which may be replaced one or more times during the design working</w:t>
      </w:r>
      <w:r>
        <w:rPr>
          <w:spacing w:val="-1"/>
          <w:sz w:val="24"/>
        </w:rPr>
        <w:t> </w:t>
      </w:r>
      <w:r>
        <w:rPr>
          <w:sz w:val="24"/>
        </w:rPr>
        <w:t>life.</w:t>
      </w:r>
    </w:p>
    <w:p>
      <w:pPr>
        <w:pStyle w:val="ListParagraph"/>
        <w:numPr>
          <w:ilvl w:val="0"/>
          <w:numId w:val="4"/>
        </w:numPr>
        <w:tabs>
          <w:tab w:pos="886" w:val="left" w:leader="none"/>
          <w:tab w:pos="887" w:val="left" w:leader="none"/>
        </w:tabs>
        <w:spacing w:line="312" w:lineRule="auto" w:before="2" w:after="0"/>
        <w:ind w:left="886" w:right="110" w:hanging="709"/>
        <w:jc w:val="left"/>
        <w:rPr>
          <w:sz w:val="24"/>
        </w:rPr>
      </w:pPr>
      <w:r>
        <w:rPr>
          <w:sz w:val="24"/>
        </w:rPr>
        <w:t>By inspection at fixed or condition dependent intervals and appropriate maintenance activities.</w:t>
      </w:r>
    </w:p>
    <w:p>
      <w:pPr>
        <w:pStyle w:val="BodyText"/>
        <w:spacing w:before="6"/>
        <w:rPr>
          <w:sz w:val="31"/>
        </w:rPr>
      </w:pPr>
    </w:p>
    <w:p>
      <w:pPr>
        <w:pStyle w:val="BodyText"/>
        <w:spacing w:line="312" w:lineRule="auto"/>
        <w:ind w:left="177" w:right="113"/>
        <w:jc w:val="both"/>
      </w:pPr>
      <w:r>
        <w:rPr/>
        <w:t>In all cases the reliability requirements for long and short term periods should be met. Analysis aspects on durability are described in Annex B.</w:t>
      </w:r>
    </w:p>
    <w:p>
      <w:pPr>
        <w:pStyle w:val="BodyText"/>
        <w:rPr>
          <w:sz w:val="26"/>
        </w:rPr>
      </w:pPr>
    </w:p>
    <w:p>
      <w:pPr>
        <w:pStyle w:val="BodyText"/>
        <w:rPr>
          <w:sz w:val="26"/>
        </w:rPr>
      </w:pPr>
    </w:p>
    <w:p>
      <w:pPr>
        <w:pStyle w:val="BodyText"/>
        <w:spacing w:before="10"/>
        <w:rPr>
          <w:sz w:val="31"/>
        </w:rPr>
      </w:pPr>
    </w:p>
    <w:p>
      <w:pPr>
        <w:pStyle w:val="Heading2"/>
        <w:numPr>
          <w:ilvl w:val="0"/>
          <w:numId w:val="2"/>
        </w:numPr>
        <w:tabs>
          <w:tab w:pos="538" w:val="left" w:leader="none"/>
        </w:tabs>
        <w:spacing w:line="240" w:lineRule="auto" w:before="1" w:after="0"/>
        <w:ind w:left="537" w:right="0" w:hanging="360"/>
        <w:jc w:val="left"/>
      </w:pPr>
      <w:bookmarkStart w:name="_TOC_250044" w:id="6"/>
      <w:bookmarkEnd w:id="6"/>
      <w:r>
        <w:rPr/>
        <w:t>Principles of limit state design</w:t>
      </w:r>
    </w:p>
    <w:p>
      <w:pPr>
        <w:pStyle w:val="Heading2"/>
        <w:numPr>
          <w:ilvl w:val="1"/>
          <w:numId w:val="2"/>
        </w:numPr>
        <w:tabs>
          <w:tab w:pos="1084" w:val="left" w:leader="none"/>
          <w:tab w:pos="1085" w:val="left" w:leader="none"/>
        </w:tabs>
        <w:spacing w:line="240" w:lineRule="auto" w:before="204" w:after="0"/>
        <w:ind w:left="1084" w:right="0" w:hanging="907"/>
        <w:jc w:val="left"/>
      </w:pPr>
      <w:bookmarkStart w:name="_TOC_250043" w:id="7"/>
      <w:bookmarkEnd w:id="7"/>
      <w:r>
        <w:rPr/>
        <w:t>Limit states and adverse states</w:t>
      </w:r>
    </w:p>
    <w:p>
      <w:pPr>
        <w:pStyle w:val="BodyText"/>
        <w:spacing w:line="312" w:lineRule="auto" w:before="201"/>
        <w:ind w:left="177" w:right="113"/>
        <w:jc w:val="both"/>
      </w:pPr>
      <w:r>
        <w:rPr/>
        <w:t>The structural performance of a whole structure or part of it should be described with reference to a specified set of limit states which separate desired states of the structure from adverse states.</w:t>
      </w:r>
    </w:p>
    <w:p>
      <w:pPr>
        <w:pStyle w:val="BodyText"/>
        <w:spacing w:before="7"/>
        <w:rPr>
          <w:sz w:val="31"/>
        </w:rPr>
      </w:pPr>
    </w:p>
    <w:p>
      <w:pPr>
        <w:pStyle w:val="BodyText"/>
        <w:ind w:left="177"/>
      </w:pPr>
      <w:r>
        <w:rPr/>
        <w:t>The limit states are divided into the following two basic categories:</w:t>
      </w:r>
    </w:p>
    <w:p>
      <w:pPr>
        <w:spacing w:after="0"/>
        <w:sectPr>
          <w:pgSz w:w="11910" w:h="16840"/>
          <w:pgMar w:header="0" w:footer="788" w:top="1460" w:bottom="980" w:left="1240" w:right="1300"/>
        </w:sectPr>
      </w:pPr>
    </w:p>
    <w:p>
      <w:pPr>
        <w:pStyle w:val="ListParagraph"/>
        <w:numPr>
          <w:ilvl w:val="0"/>
          <w:numId w:val="3"/>
        </w:numPr>
        <w:tabs>
          <w:tab w:pos="882" w:val="left" w:leader="none"/>
          <w:tab w:pos="883" w:val="left" w:leader="none"/>
        </w:tabs>
        <w:spacing w:line="312" w:lineRule="auto" w:before="62" w:after="0"/>
        <w:ind w:left="882" w:right="110" w:hanging="705"/>
        <w:jc w:val="left"/>
        <w:rPr>
          <w:sz w:val="24"/>
        </w:rPr>
      </w:pPr>
      <w:r>
        <w:rPr>
          <w:sz w:val="24"/>
        </w:rPr>
        <w:t>the </w:t>
      </w:r>
      <w:r>
        <w:rPr>
          <w:i/>
          <w:sz w:val="24"/>
        </w:rPr>
        <w:t>ultimate limit states</w:t>
      </w:r>
      <w:r>
        <w:rPr>
          <w:sz w:val="24"/>
        </w:rPr>
        <w:t>, which concern the maximum load carrying capacity as well as the maximum</w:t>
      </w:r>
      <w:r>
        <w:rPr>
          <w:spacing w:val="-3"/>
          <w:sz w:val="24"/>
        </w:rPr>
        <w:t> </w:t>
      </w:r>
      <w:r>
        <w:rPr>
          <w:sz w:val="24"/>
        </w:rPr>
        <w:t>deformability</w:t>
      </w:r>
    </w:p>
    <w:p>
      <w:pPr>
        <w:pStyle w:val="ListParagraph"/>
        <w:numPr>
          <w:ilvl w:val="0"/>
          <w:numId w:val="3"/>
        </w:numPr>
        <w:tabs>
          <w:tab w:pos="882" w:val="left" w:leader="none"/>
          <w:tab w:pos="883" w:val="left" w:leader="none"/>
        </w:tabs>
        <w:spacing w:line="240" w:lineRule="auto" w:before="2" w:after="0"/>
        <w:ind w:left="882" w:right="0" w:hanging="705"/>
        <w:jc w:val="left"/>
        <w:rPr>
          <w:sz w:val="24"/>
        </w:rPr>
      </w:pPr>
      <w:r>
        <w:rPr>
          <w:sz w:val="24"/>
        </w:rPr>
        <w:t>the </w:t>
      </w:r>
      <w:r>
        <w:rPr>
          <w:i/>
          <w:sz w:val="24"/>
        </w:rPr>
        <w:t>serviceability limit states</w:t>
      </w:r>
      <w:r>
        <w:rPr>
          <w:sz w:val="24"/>
        </w:rPr>
        <w:t>, which concern the normal</w:t>
      </w:r>
      <w:r>
        <w:rPr>
          <w:spacing w:val="-1"/>
          <w:sz w:val="24"/>
        </w:rPr>
        <w:t> </w:t>
      </w:r>
      <w:r>
        <w:rPr>
          <w:sz w:val="24"/>
        </w:rPr>
        <w:t>use.</w:t>
      </w:r>
    </w:p>
    <w:p>
      <w:pPr>
        <w:pStyle w:val="BodyText"/>
        <w:spacing w:before="7"/>
        <w:rPr>
          <w:sz w:val="38"/>
        </w:rPr>
      </w:pPr>
    </w:p>
    <w:p>
      <w:pPr>
        <w:pStyle w:val="BodyText"/>
        <w:spacing w:line="312" w:lineRule="auto"/>
        <w:ind w:left="177" w:right="111"/>
        <w:jc w:val="both"/>
      </w:pPr>
      <w:r>
        <w:rPr/>
        <w:t>The exceedance of a limit state may be irreversible or reversible. In the irreversible case the damage or malfunction associated with the limit state being exceeded will remain until the structure has been repaired. In the reversible case the damage or malfunction will remain only as long as the cause of the limit state being exceeded is present. As soon as this cause ceases to act, a transition from the adverse state back to the desired state</w:t>
      </w:r>
      <w:r>
        <w:rPr>
          <w:spacing w:val="-2"/>
        </w:rPr>
        <w:t> </w:t>
      </w:r>
      <w:r>
        <w:rPr/>
        <w:t>occurs.</w:t>
      </w:r>
    </w:p>
    <w:p>
      <w:pPr>
        <w:pStyle w:val="BodyText"/>
        <w:spacing w:before="10"/>
        <w:rPr>
          <w:sz w:val="31"/>
        </w:rPr>
      </w:pPr>
    </w:p>
    <w:p>
      <w:pPr>
        <w:pStyle w:val="BodyText"/>
        <w:spacing w:line="312" w:lineRule="auto"/>
        <w:ind w:left="177" w:right="110"/>
        <w:jc w:val="both"/>
      </w:pPr>
      <w:r>
        <w:rPr/>
        <w:t>It is further noted here that in some cases a limit between the aforementioned limit state types may be defined This can be done by an artificial discretization of a the continuous situation between the serviceability and the ultimate limit state. By applying such a procedure a so- called </w:t>
      </w:r>
      <w:r>
        <w:rPr>
          <w:i/>
        </w:rPr>
        <w:t>partial damage limit state</w:t>
      </w:r>
      <w:r>
        <w:rPr/>
        <w:t>” can be defined. For example in case of earthquake damage of plant structures such limit state is associated to the safe shut down of the plant.</w:t>
      </w:r>
    </w:p>
    <w:p>
      <w:pPr>
        <w:pStyle w:val="BodyText"/>
        <w:spacing w:before="9"/>
        <w:rPr>
          <w:sz w:val="31"/>
        </w:rPr>
      </w:pPr>
    </w:p>
    <w:p>
      <w:pPr>
        <w:spacing w:before="1"/>
        <w:ind w:left="177" w:right="0" w:firstLine="0"/>
        <w:jc w:val="left"/>
        <w:rPr>
          <w:sz w:val="24"/>
        </w:rPr>
      </w:pPr>
      <w:r>
        <w:rPr>
          <w:b/>
          <w:sz w:val="24"/>
        </w:rPr>
        <w:t>Ultimate limit states </w:t>
      </w:r>
      <w:r>
        <w:rPr>
          <w:sz w:val="24"/>
        </w:rPr>
        <w:t>may correspond to the following adverse states:</w:t>
      </w:r>
    </w:p>
    <w:p>
      <w:pPr>
        <w:pStyle w:val="ListParagraph"/>
        <w:numPr>
          <w:ilvl w:val="0"/>
          <w:numId w:val="3"/>
        </w:numPr>
        <w:tabs>
          <w:tab w:pos="886" w:val="left" w:leader="none"/>
          <w:tab w:pos="887" w:val="left" w:leader="none"/>
        </w:tabs>
        <w:spacing w:line="312" w:lineRule="auto" w:before="84" w:after="0"/>
        <w:ind w:left="886" w:right="113" w:hanging="709"/>
        <w:jc w:val="left"/>
        <w:rPr>
          <w:sz w:val="24"/>
        </w:rPr>
      </w:pPr>
      <w:r>
        <w:rPr>
          <w:sz w:val="24"/>
        </w:rPr>
        <w:t>loss of equilibrium of the structure or of a part of the structure, considered as a rigid body (eg. overturning)</w:t>
      </w:r>
    </w:p>
    <w:p>
      <w:pPr>
        <w:pStyle w:val="ListParagraph"/>
        <w:numPr>
          <w:ilvl w:val="0"/>
          <w:numId w:val="3"/>
        </w:numPr>
        <w:tabs>
          <w:tab w:pos="886" w:val="left" w:leader="none"/>
          <w:tab w:pos="887" w:val="left" w:leader="none"/>
        </w:tabs>
        <w:spacing w:line="312" w:lineRule="auto" w:before="2" w:after="0"/>
        <w:ind w:left="885" w:right="387" w:hanging="708"/>
        <w:jc w:val="left"/>
        <w:rPr>
          <w:sz w:val="24"/>
        </w:rPr>
      </w:pPr>
      <w:r>
        <w:rPr>
          <w:sz w:val="24"/>
        </w:rPr>
        <w:t>attainment of the maximum resistance capacity of sections, members or connections by rupture or excessive</w:t>
      </w:r>
      <w:r>
        <w:rPr>
          <w:spacing w:val="-1"/>
          <w:sz w:val="24"/>
        </w:rPr>
        <w:t> </w:t>
      </w:r>
      <w:r>
        <w:rPr>
          <w:sz w:val="24"/>
        </w:rPr>
        <w:t>deformations</w:t>
      </w:r>
    </w:p>
    <w:p>
      <w:pPr>
        <w:pStyle w:val="ListParagraph"/>
        <w:numPr>
          <w:ilvl w:val="0"/>
          <w:numId w:val="3"/>
        </w:numPr>
        <w:tabs>
          <w:tab w:pos="882" w:val="left" w:leader="none"/>
          <w:tab w:pos="883" w:val="left" w:leader="none"/>
        </w:tabs>
        <w:spacing w:line="312" w:lineRule="auto" w:before="2" w:after="0"/>
        <w:ind w:left="882" w:right="111" w:hanging="705"/>
        <w:jc w:val="left"/>
        <w:rPr>
          <w:sz w:val="24"/>
        </w:rPr>
      </w:pPr>
      <w:r>
        <w:rPr>
          <w:sz w:val="24"/>
        </w:rPr>
        <w:t>rupture of members or connections caused by fatigue or other time-dependent effects instability of the structure or part of</w:t>
      </w:r>
      <w:r>
        <w:rPr>
          <w:spacing w:val="-2"/>
          <w:sz w:val="24"/>
        </w:rPr>
        <w:t> </w:t>
      </w:r>
      <w:r>
        <w:rPr>
          <w:sz w:val="24"/>
        </w:rPr>
        <w:t>it</w:t>
      </w:r>
    </w:p>
    <w:p>
      <w:pPr>
        <w:pStyle w:val="ListParagraph"/>
        <w:numPr>
          <w:ilvl w:val="0"/>
          <w:numId w:val="3"/>
        </w:numPr>
        <w:tabs>
          <w:tab w:pos="882" w:val="left" w:leader="none"/>
          <w:tab w:pos="883" w:val="left" w:leader="none"/>
        </w:tabs>
        <w:spacing w:line="240" w:lineRule="auto" w:before="3" w:after="0"/>
        <w:ind w:left="882" w:right="0" w:hanging="705"/>
        <w:jc w:val="left"/>
        <w:rPr>
          <w:sz w:val="24"/>
        </w:rPr>
      </w:pPr>
      <w:r>
        <w:rPr>
          <w:sz w:val="24"/>
        </w:rPr>
        <w:t>sudden change of the assumed structural system to a new system, (eg. snap</w:t>
      </w:r>
      <w:r>
        <w:rPr>
          <w:spacing w:val="-5"/>
          <w:sz w:val="24"/>
        </w:rPr>
        <w:t> </w:t>
      </w:r>
      <w:r>
        <w:rPr>
          <w:sz w:val="24"/>
        </w:rPr>
        <w:t>through)</w:t>
      </w:r>
    </w:p>
    <w:p>
      <w:pPr>
        <w:pStyle w:val="BodyText"/>
        <w:spacing w:before="7"/>
        <w:rPr>
          <w:sz w:val="38"/>
        </w:rPr>
      </w:pPr>
    </w:p>
    <w:p>
      <w:pPr>
        <w:pStyle w:val="BodyText"/>
        <w:spacing w:line="312" w:lineRule="auto"/>
        <w:ind w:left="177" w:right="191"/>
      </w:pPr>
      <w:r>
        <w:rPr/>
        <w:t>The exceedance of an ultimate limit state is almost always irreversible and the first time that this occurs causes failure.</w:t>
      </w:r>
    </w:p>
    <w:p>
      <w:pPr>
        <w:pStyle w:val="BodyText"/>
        <w:spacing w:before="6"/>
        <w:rPr>
          <w:sz w:val="31"/>
        </w:rPr>
      </w:pPr>
    </w:p>
    <w:p>
      <w:pPr>
        <w:spacing w:before="0"/>
        <w:ind w:left="177" w:right="0" w:firstLine="0"/>
        <w:jc w:val="left"/>
        <w:rPr>
          <w:sz w:val="24"/>
        </w:rPr>
      </w:pPr>
      <w:r>
        <w:rPr>
          <w:b/>
          <w:sz w:val="24"/>
        </w:rPr>
        <w:t>Serviceability limit states </w:t>
      </w:r>
      <w:r>
        <w:rPr>
          <w:sz w:val="24"/>
        </w:rPr>
        <w:t>may correspond to the following adverse states:</w:t>
      </w:r>
    </w:p>
    <w:p>
      <w:pPr>
        <w:pStyle w:val="ListParagraph"/>
        <w:numPr>
          <w:ilvl w:val="0"/>
          <w:numId w:val="3"/>
        </w:numPr>
        <w:tabs>
          <w:tab w:pos="886" w:val="left" w:leader="none"/>
          <w:tab w:pos="887" w:val="left" w:leader="none"/>
        </w:tabs>
        <w:spacing w:line="312" w:lineRule="auto" w:before="84" w:after="0"/>
        <w:ind w:left="886" w:right="114" w:hanging="709"/>
        <w:jc w:val="left"/>
        <w:rPr>
          <w:sz w:val="24"/>
        </w:rPr>
      </w:pPr>
      <w:r>
        <w:rPr>
          <w:sz w:val="24"/>
        </w:rPr>
        <w:t>local damage (including cracking) which may reduce the durability of the structure or affect the efficiency or appearance of structural or non-structural</w:t>
      </w:r>
      <w:r>
        <w:rPr>
          <w:spacing w:val="-3"/>
          <w:sz w:val="24"/>
        </w:rPr>
        <w:t> </w:t>
      </w:r>
      <w:r>
        <w:rPr>
          <w:sz w:val="24"/>
        </w:rPr>
        <w:t>elements.</w:t>
      </w:r>
    </w:p>
    <w:p>
      <w:pPr>
        <w:pStyle w:val="ListParagraph"/>
        <w:numPr>
          <w:ilvl w:val="0"/>
          <w:numId w:val="3"/>
        </w:numPr>
        <w:tabs>
          <w:tab w:pos="885" w:val="left" w:leader="none"/>
          <w:tab w:pos="887" w:val="left" w:leader="none"/>
        </w:tabs>
        <w:spacing w:line="240" w:lineRule="auto" w:before="2" w:after="0"/>
        <w:ind w:left="886" w:right="0" w:hanging="709"/>
        <w:jc w:val="left"/>
        <w:rPr>
          <w:sz w:val="24"/>
        </w:rPr>
      </w:pPr>
      <w:r>
        <w:rPr>
          <w:sz w:val="24"/>
        </w:rPr>
        <w:t>observable damage caused by fatigue or other time dependent</w:t>
      </w:r>
      <w:r>
        <w:rPr>
          <w:spacing w:val="-1"/>
          <w:sz w:val="24"/>
        </w:rPr>
        <w:t> </w:t>
      </w:r>
      <w:r>
        <w:rPr>
          <w:sz w:val="24"/>
        </w:rPr>
        <w:t>effects</w:t>
      </w:r>
    </w:p>
    <w:p>
      <w:pPr>
        <w:pStyle w:val="ListParagraph"/>
        <w:numPr>
          <w:ilvl w:val="0"/>
          <w:numId w:val="3"/>
        </w:numPr>
        <w:tabs>
          <w:tab w:pos="882" w:val="left" w:leader="none"/>
          <w:tab w:pos="883" w:val="left" w:leader="none"/>
        </w:tabs>
        <w:spacing w:line="312" w:lineRule="auto" w:before="84" w:after="0"/>
        <w:ind w:left="882" w:right="112" w:hanging="705"/>
        <w:jc w:val="left"/>
        <w:rPr>
          <w:sz w:val="24"/>
        </w:rPr>
      </w:pPr>
      <w:r>
        <w:rPr>
          <w:sz w:val="24"/>
        </w:rPr>
        <w:t>unacceptable deformations which affect the efficient use or appearance of structural or non-structural elements or the functioning of</w:t>
      </w:r>
      <w:r>
        <w:rPr>
          <w:spacing w:val="-1"/>
          <w:sz w:val="24"/>
        </w:rPr>
        <w:t> </w:t>
      </w:r>
      <w:r>
        <w:rPr>
          <w:sz w:val="24"/>
        </w:rPr>
        <w:t>equipment.</w:t>
      </w:r>
    </w:p>
    <w:p>
      <w:pPr>
        <w:pStyle w:val="BodyText"/>
        <w:spacing w:before="3"/>
        <w:ind w:left="135" w:right="216"/>
        <w:jc w:val="center"/>
      </w:pPr>
      <w:r>
        <w:rPr/>
        <w:t>excessive vibrations which cause discomfort to people or affect non-structural</w:t>
      </w:r>
    </w:p>
    <w:p>
      <w:pPr>
        <w:pStyle w:val="ListParagraph"/>
        <w:numPr>
          <w:ilvl w:val="0"/>
          <w:numId w:val="3"/>
        </w:numPr>
        <w:tabs>
          <w:tab w:pos="882" w:val="left" w:leader="none"/>
          <w:tab w:pos="883" w:val="left" w:leader="none"/>
        </w:tabs>
        <w:spacing w:line="240" w:lineRule="auto" w:before="84" w:after="0"/>
        <w:ind w:left="882" w:right="0" w:hanging="705"/>
        <w:jc w:val="left"/>
        <w:rPr>
          <w:sz w:val="24"/>
        </w:rPr>
      </w:pPr>
      <w:r>
        <w:rPr>
          <w:sz w:val="24"/>
        </w:rPr>
        <w:t>elements or the functioning of</w:t>
      </w:r>
      <w:r>
        <w:rPr>
          <w:spacing w:val="-1"/>
          <w:sz w:val="24"/>
        </w:rPr>
        <w:t> </w:t>
      </w:r>
      <w:r>
        <w:rPr>
          <w:sz w:val="24"/>
        </w:rPr>
        <w:t>equipment</w:t>
      </w:r>
    </w:p>
    <w:p>
      <w:pPr>
        <w:spacing w:after="0" w:line="240" w:lineRule="auto"/>
        <w:jc w:val="left"/>
        <w:rPr>
          <w:sz w:val="24"/>
        </w:rPr>
        <w:sectPr>
          <w:pgSz w:w="11910" w:h="16840"/>
          <w:pgMar w:header="0" w:footer="788" w:top="1460" w:bottom="980" w:left="1240" w:right="1300"/>
        </w:sectPr>
      </w:pPr>
    </w:p>
    <w:p>
      <w:pPr>
        <w:pStyle w:val="BodyText"/>
        <w:spacing w:line="312" w:lineRule="auto" w:before="62"/>
        <w:ind w:left="177" w:right="110"/>
        <w:jc w:val="both"/>
      </w:pPr>
      <w:r>
        <w:rPr/>
        <w:t>In the cases of permanent local damage or permanent unacceptable deformations the exceedance of a serviceability limit state is irreversible and the first time that this occurs causes failure.</w:t>
      </w:r>
    </w:p>
    <w:p>
      <w:pPr>
        <w:pStyle w:val="BodyText"/>
        <w:spacing w:before="7"/>
        <w:rPr>
          <w:sz w:val="31"/>
        </w:rPr>
      </w:pPr>
    </w:p>
    <w:p>
      <w:pPr>
        <w:pStyle w:val="BodyText"/>
        <w:spacing w:line="312" w:lineRule="auto"/>
        <w:ind w:left="177"/>
      </w:pPr>
      <w:r>
        <w:rPr/>
        <w:t>In other cases the exceedance of a serviceability limit state may be reversible and then failure occurs:</w:t>
      </w:r>
    </w:p>
    <w:p>
      <w:pPr>
        <w:pStyle w:val="BodyText"/>
        <w:spacing w:before="6"/>
        <w:rPr>
          <w:sz w:val="31"/>
        </w:rPr>
      </w:pPr>
    </w:p>
    <w:p>
      <w:pPr>
        <w:pStyle w:val="ListParagraph"/>
        <w:numPr>
          <w:ilvl w:val="0"/>
          <w:numId w:val="5"/>
        </w:numPr>
        <w:tabs>
          <w:tab w:pos="886" w:val="left" w:leader="none"/>
          <w:tab w:pos="887" w:val="left" w:leader="none"/>
        </w:tabs>
        <w:spacing w:line="312" w:lineRule="auto" w:before="0" w:after="0"/>
        <w:ind w:left="886" w:right="110" w:hanging="709"/>
        <w:jc w:val="left"/>
        <w:rPr>
          <w:sz w:val="24"/>
        </w:rPr>
      </w:pPr>
      <w:r>
        <w:rPr>
          <w:sz w:val="24"/>
        </w:rPr>
        <w:t>the first time the serviceability limit state is exceeded, if no exceedance is considered as acceptable</w:t>
      </w:r>
    </w:p>
    <w:p>
      <w:pPr>
        <w:pStyle w:val="ListParagraph"/>
        <w:numPr>
          <w:ilvl w:val="0"/>
          <w:numId w:val="5"/>
        </w:numPr>
        <w:tabs>
          <w:tab w:pos="886" w:val="left" w:leader="none"/>
          <w:tab w:pos="887" w:val="left" w:leader="none"/>
        </w:tabs>
        <w:spacing w:line="312" w:lineRule="auto" w:before="2" w:after="0"/>
        <w:ind w:left="886" w:right="113" w:hanging="709"/>
        <w:jc w:val="left"/>
        <w:rPr>
          <w:sz w:val="24"/>
        </w:rPr>
      </w:pPr>
      <w:r>
        <w:rPr>
          <w:sz w:val="24"/>
        </w:rPr>
        <w:t>if exceedance is acceptable but the time when the structure is in the undesired state is longer than specified</w:t>
      </w:r>
    </w:p>
    <w:p>
      <w:pPr>
        <w:pStyle w:val="ListParagraph"/>
        <w:numPr>
          <w:ilvl w:val="0"/>
          <w:numId w:val="5"/>
        </w:numPr>
        <w:tabs>
          <w:tab w:pos="886" w:val="left" w:leader="none"/>
          <w:tab w:pos="887" w:val="left" w:leader="none"/>
        </w:tabs>
        <w:spacing w:line="312" w:lineRule="auto" w:before="3" w:after="0"/>
        <w:ind w:left="886" w:right="113" w:hanging="709"/>
        <w:jc w:val="left"/>
        <w:rPr>
          <w:sz w:val="24"/>
        </w:rPr>
      </w:pPr>
      <w:r>
        <w:rPr>
          <w:sz w:val="24"/>
        </w:rPr>
        <w:t>if exceedance is acceptable but the number of times that the serveciability limit state is exceeded is larger than specified</w:t>
      </w:r>
    </w:p>
    <w:p>
      <w:pPr>
        <w:pStyle w:val="ListParagraph"/>
        <w:numPr>
          <w:ilvl w:val="0"/>
          <w:numId w:val="5"/>
        </w:numPr>
        <w:tabs>
          <w:tab w:pos="882" w:val="left" w:leader="none"/>
          <w:tab w:pos="883" w:val="left" w:leader="none"/>
        </w:tabs>
        <w:spacing w:line="240" w:lineRule="auto" w:before="2" w:after="0"/>
        <w:ind w:left="882" w:right="0" w:hanging="705"/>
        <w:jc w:val="left"/>
        <w:rPr>
          <w:sz w:val="24"/>
        </w:rPr>
      </w:pPr>
      <w:r>
        <w:rPr>
          <w:sz w:val="24"/>
        </w:rPr>
        <w:t>if a combination of the above criteria</w:t>
      </w:r>
      <w:r>
        <w:rPr>
          <w:spacing w:val="-1"/>
          <w:sz w:val="24"/>
        </w:rPr>
        <w:t> </w:t>
      </w:r>
      <w:r>
        <w:rPr>
          <w:sz w:val="24"/>
        </w:rPr>
        <w:t>occur.</w:t>
      </w:r>
    </w:p>
    <w:p>
      <w:pPr>
        <w:pStyle w:val="BodyText"/>
        <w:spacing w:before="7"/>
        <w:rPr>
          <w:sz w:val="38"/>
        </w:rPr>
      </w:pPr>
    </w:p>
    <w:p>
      <w:pPr>
        <w:pStyle w:val="BodyText"/>
        <w:spacing w:line="312" w:lineRule="auto"/>
        <w:ind w:left="177" w:right="113"/>
        <w:jc w:val="both"/>
      </w:pPr>
      <w:r>
        <w:rPr/>
        <w:t>These cases may involve temporary local damage (eg. temporarily wide cracks), temporary large deformations and vibrations. Limit values for the serviceability limit state should be defined on the basis of </w:t>
      </w:r>
      <w:r>
        <w:rPr>
          <w:i/>
        </w:rPr>
        <w:t>utility considerations</w:t>
      </w:r>
      <w:r>
        <w:rPr/>
        <w:t>.</w:t>
      </w:r>
    </w:p>
    <w:p>
      <w:pPr>
        <w:pStyle w:val="BodyText"/>
        <w:rPr>
          <w:sz w:val="26"/>
        </w:rPr>
      </w:pPr>
    </w:p>
    <w:p>
      <w:pPr>
        <w:pStyle w:val="Heading2"/>
        <w:numPr>
          <w:ilvl w:val="1"/>
          <w:numId w:val="2"/>
        </w:numPr>
        <w:tabs>
          <w:tab w:pos="1084" w:val="left" w:leader="none"/>
          <w:tab w:pos="1085" w:val="left" w:leader="none"/>
        </w:tabs>
        <w:spacing w:line="240" w:lineRule="auto" w:before="187" w:after="0"/>
        <w:ind w:left="1084" w:right="0" w:hanging="907"/>
        <w:jc w:val="left"/>
      </w:pPr>
      <w:bookmarkStart w:name="_TOC_250042" w:id="8"/>
      <w:bookmarkEnd w:id="8"/>
      <w:r>
        <w:rPr/>
        <w:t>Limit State Function</w:t>
      </w:r>
    </w:p>
    <w:p>
      <w:pPr>
        <w:pStyle w:val="BodyText"/>
        <w:spacing w:line="312" w:lineRule="auto" w:before="202"/>
        <w:ind w:left="177"/>
      </w:pPr>
      <w:r>
        <w:rPr/>
        <w:t>For each specific limit state the relevant basic variables should be identified, i.e. the variables which characterize:</w:t>
      </w:r>
    </w:p>
    <w:p>
      <w:pPr>
        <w:pStyle w:val="BodyText"/>
        <w:spacing w:before="6"/>
        <w:rPr>
          <w:sz w:val="31"/>
        </w:rPr>
      </w:pPr>
    </w:p>
    <w:p>
      <w:pPr>
        <w:pStyle w:val="ListParagraph"/>
        <w:numPr>
          <w:ilvl w:val="0"/>
          <w:numId w:val="3"/>
        </w:numPr>
        <w:tabs>
          <w:tab w:pos="886" w:val="left" w:leader="none"/>
          <w:tab w:pos="887" w:val="left" w:leader="none"/>
        </w:tabs>
        <w:spacing w:line="240" w:lineRule="auto" w:before="0" w:after="0"/>
        <w:ind w:left="886" w:right="0" w:hanging="709"/>
        <w:jc w:val="left"/>
        <w:rPr>
          <w:sz w:val="24"/>
        </w:rPr>
      </w:pPr>
      <w:r>
        <w:rPr>
          <w:sz w:val="24"/>
        </w:rPr>
        <w:t>actions and environmental</w:t>
      </w:r>
      <w:r>
        <w:rPr>
          <w:spacing w:val="-1"/>
          <w:sz w:val="24"/>
        </w:rPr>
        <w:t> </w:t>
      </w:r>
      <w:r>
        <w:rPr>
          <w:sz w:val="24"/>
        </w:rPr>
        <w:t>influences</w:t>
      </w:r>
    </w:p>
    <w:p>
      <w:pPr>
        <w:pStyle w:val="ListParagraph"/>
        <w:numPr>
          <w:ilvl w:val="0"/>
          <w:numId w:val="3"/>
        </w:numPr>
        <w:tabs>
          <w:tab w:pos="886" w:val="left" w:leader="none"/>
          <w:tab w:pos="887" w:val="left" w:leader="none"/>
        </w:tabs>
        <w:spacing w:line="240" w:lineRule="auto" w:before="84" w:after="0"/>
        <w:ind w:left="886" w:right="0" w:hanging="709"/>
        <w:jc w:val="left"/>
        <w:rPr>
          <w:sz w:val="24"/>
        </w:rPr>
      </w:pPr>
      <w:r>
        <w:rPr>
          <w:sz w:val="24"/>
        </w:rPr>
        <w:t>properties of materials and</w:t>
      </w:r>
      <w:r>
        <w:rPr>
          <w:spacing w:val="-1"/>
          <w:sz w:val="24"/>
        </w:rPr>
        <w:t> </w:t>
      </w:r>
      <w:r>
        <w:rPr>
          <w:sz w:val="24"/>
        </w:rPr>
        <w:t>soils</w:t>
      </w:r>
    </w:p>
    <w:p>
      <w:pPr>
        <w:pStyle w:val="ListParagraph"/>
        <w:numPr>
          <w:ilvl w:val="0"/>
          <w:numId w:val="3"/>
        </w:numPr>
        <w:tabs>
          <w:tab w:pos="886" w:val="left" w:leader="none"/>
          <w:tab w:pos="887" w:val="left" w:leader="none"/>
        </w:tabs>
        <w:spacing w:line="240" w:lineRule="auto" w:before="84" w:after="0"/>
        <w:ind w:left="886" w:right="0" w:hanging="709"/>
        <w:jc w:val="left"/>
        <w:rPr>
          <w:sz w:val="24"/>
        </w:rPr>
      </w:pPr>
      <w:r>
        <w:rPr>
          <w:sz w:val="24"/>
        </w:rPr>
        <w:t>geometrical</w:t>
      </w:r>
      <w:r>
        <w:rPr>
          <w:spacing w:val="-1"/>
          <w:sz w:val="24"/>
        </w:rPr>
        <w:t> </w:t>
      </w:r>
      <w:r>
        <w:rPr>
          <w:sz w:val="24"/>
        </w:rPr>
        <w:t>parameters</w:t>
      </w:r>
    </w:p>
    <w:p>
      <w:pPr>
        <w:pStyle w:val="BodyText"/>
        <w:spacing w:before="7"/>
        <w:rPr>
          <w:sz w:val="38"/>
        </w:rPr>
      </w:pPr>
    </w:p>
    <w:p>
      <w:pPr>
        <w:pStyle w:val="BodyText"/>
        <w:spacing w:line="312" w:lineRule="auto"/>
        <w:ind w:left="177" w:right="110"/>
        <w:jc w:val="both"/>
      </w:pPr>
      <w:r>
        <w:rPr/>
        <w:t>Such variables may be time dependent. Models, which describe the behaviour of a structure, should be established for each limit state. These models include mechanical models, which describe the structural behaviour, as well as other physical or chemical models, which describe the effects of environmental influences on the material properties. The parameters of such models should in principle be treated in the same way as basic</w:t>
      </w:r>
      <w:r>
        <w:rPr>
          <w:spacing w:val="-2"/>
        </w:rPr>
        <w:t> </w:t>
      </w:r>
      <w:r>
        <w:rPr/>
        <w:t>variables.</w:t>
      </w:r>
    </w:p>
    <w:p>
      <w:pPr>
        <w:pStyle w:val="BodyText"/>
        <w:spacing w:before="10"/>
        <w:rPr>
          <w:sz w:val="31"/>
        </w:rPr>
      </w:pPr>
    </w:p>
    <w:p>
      <w:pPr>
        <w:pStyle w:val="BodyText"/>
        <w:spacing w:line="312" w:lineRule="auto"/>
        <w:ind w:left="177"/>
      </w:pPr>
      <w:r>
        <w:rPr/>
        <w:t>Serviceability constaints (limit values according to 4.1) should in principle be regarded as random and may in many cases be treated in the same way as basic variables.</w:t>
      </w:r>
    </w:p>
    <w:p>
      <w:pPr>
        <w:pStyle w:val="BodyText"/>
        <w:spacing w:before="6"/>
        <w:rPr>
          <w:sz w:val="31"/>
        </w:rPr>
      </w:pPr>
    </w:p>
    <w:p>
      <w:pPr>
        <w:pStyle w:val="BodyText"/>
        <w:spacing w:line="312" w:lineRule="auto"/>
        <w:ind w:left="177"/>
      </w:pPr>
      <w:r>
        <w:rPr/>
        <w:t>Where calculation models are available, the limit state can be described with aid of a function, g, of the basic variables </w:t>
      </w:r>
      <w:r>
        <w:rPr>
          <w:u w:val="single"/>
        </w:rPr>
        <w:t>X</w:t>
      </w:r>
      <w:r>
        <w:rPr/>
        <w:t>(t) = X</w:t>
      </w:r>
      <w:r>
        <w:rPr>
          <w:position w:val="-5"/>
          <w:sz w:val="18"/>
        </w:rPr>
        <w:t>1</w:t>
      </w:r>
      <w:r>
        <w:rPr/>
        <w:t>(t), X</w:t>
      </w:r>
      <w:r>
        <w:rPr>
          <w:position w:val="-5"/>
          <w:sz w:val="18"/>
        </w:rPr>
        <w:t>2</w:t>
      </w:r>
      <w:r>
        <w:rPr/>
        <w:t>(t), ... so that</w:t>
      </w:r>
    </w:p>
    <w:p>
      <w:pPr>
        <w:spacing w:after="0" w:line="312" w:lineRule="auto"/>
        <w:sectPr>
          <w:pgSz w:w="11910" w:h="16840"/>
          <w:pgMar w:header="0" w:footer="788" w:top="1460" w:bottom="980" w:left="1240" w:right="1300"/>
        </w:sectPr>
      </w:pPr>
    </w:p>
    <w:p>
      <w:pPr>
        <w:pStyle w:val="BodyText"/>
        <w:spacing w:before="8"/>
        <w:rPr>
          <w:sz w:val="16"/>
        </w:rPr>
      </w:pPr>
    </w:p>
    <w:p>
      <w:pPr>
        <w:pStyle w:val="BodyText"/>
        <w:tabs>
          <w:tab w:pos="7091" w:val="left" w:leader="none"/>
        </w:tabs>
        <w:spacing w:before="90"/>
        <w:ind w:right="216"/>
        <w:jc w:val="center"/>
      </w:pPr>
      <w:r>
        <w:rPr/>
        <w:t>g (</w:t>
      </w:r>
      <w:r>
        <w:rPr>
          <w:u w:val="single"/>
        </w:rPr>
        <w:t>X</w:t>
      </w:r>
      <w:r>
        <w:rPr/>
        <w:t>(t))</w:t>
      </w:r>
      <w:r>
        <w:rPr>
          <w:spacing w:val="-1"/>
        </w:rPr>
        <w:t> </w:t>
      </w:r>
      <w:r>
        <w:rPr/>
        <w:t>=</w:t>
      </w:r>
      <w:r>
        <w:rPr>
          <w:spacing w:val="-1"/>
        </w:rPr>
        <w:t> </w:t>
      </w:r>
      <w:r>
        <w:rPr/>
        <w:t>0</w:t>
        <w:tab/>
        <w:t>(1)</w:t>
      </w:r>
    </w:p>
    <w:p>
      <w:pPr>
        <w:pStyle w:val="BodyText"/>
        <w:spacing w:before="7"/>
        <w:rPr>
          <w:sz w:val="38"/>
        </w:rPr>
      </w:pPr>
    </w:p>
    <w:p>
      <w:pPr>
        <w:pStyle w:val="BodyText"/>
        <w:ind w:left="177"/>
        <w:jc w:val="both"/>
      </w:pPr>
      <w:r>
        <w:rPr/>
        <w:t>Eq. (1) is called the limit state equation, and</w:t>
      </w:r>
    </w:p>
    <w:p>
      <w:pPr>
        <w:pStyle w:val="BodyText"/>
        <w:spacing w:before="7"/>
        <w:rPr>
          <w:sz w:val="38"/>
        </w:rPr>
      </w:pPr>
    </w:p>
    <w:p>
      <w:pPr>
        <w:pStyle w:val="BodyText"/>
        <w:tabs>
          <w:tab w:pos="7091" w:val="left" w:leader="none"/>
        </w:tabs>
        <w:ind w:right="217"/>
        <w:jc w:val="center"/>
      </w:pPr>
      <w:r>
        <w:rPr/>
        <w:t>g (</w:t>
      </w:r>
      <w:r>
        <w:rPr>
          <w:u w:val="single"/>
        </w:rPr>
        <w:t>X</w:t>
      </w:r>
      <w:r>
        <w:rPr/>
        <w:t>(t))</w:t>
      </w:r>
      <w:r>
        <w:rPr>
          <w:spacing w:val="-1"/>
        </w:rPr>
        <w:t> </w:t>
      </w:r>
      <w:r>
        <w:rPr/>
        <w:t>&lt;</w:t>
      </w:r>
      <w:r>
        <w:rPr>
          <w:spacing w:val="-1"/>
        </w:rPr>
        <w:t> </w:t>
      </w:r>
      <w:r>
        <w:rPr/>
        <w:t>0</w:t>
        <w:tab/>
        <w:t>(2)</w:t>
      </w:r>
    </w:p>
    <w:p>
      <w:pPr>
        <w:pStyle w:val="BodyText"/>
        <w:spacing w:before="7"/>
        <w:rPr>
          <w:sz w:val="38"/>
        </w:rPr>
      </w:pPr>
    </w:p>
    <w:p>
      <w:pPr>
        <w:pStyle w:val="BodyText"/>
        <w:ind w:left="177"/>
        <w:jc w:val="both"/>
      </w:pPr>
      <w:r>
        <w:rPr/>
        <w:t>identifies the adverse state.</w:t>
      </w:r>
    </w:p>
    <w:p>
      <w:pPr>
        <w:pStyle w:val="BodyText"/>
        <w:spacing w:before="7"/>
        <w:rPr>
          <w:sz w:val="38"/>
        </w:rPr>
      </w:pPr>
    </w:p>
    <w:p>
      <w:pPr>
        <w:pStyle w:val="BodyText"/>
        <w:spacing w:line="312" w:lineRule="auto"/>
        <w:ind w:left="177" w:right="111"/>
        <w:jc w:val="both"/>
      </w:pPr>
      <w:r>
        <w:rPr/>
        <w:t>In a component analysis where there is one dominating failure mode the limit state condition can normally be described by one equation according to eq. (1). In a system analysis, where more than one failure mode may be determining, there are several such equations.</w:t>
      </w:r>
    </w:p>
    <w:p>
      <w:pPr>
        <w:pStyle w:val="BodyText"/>
        <w:rPr>
          <w:sz w:val="26"/>
        </w:rPr>
      </w:pPr>
    </w:p>
    <w:p>
      <w:pPr>
        <w:pStyle w:val="Heading2"/>
        <w:numPr>
          <w:ilvl w:val="1"/>
          <w:numId w:val="2"/>
        </w:numPr>
        <w:tabs>
          <w:tab w:pos="1084" w:val="left" w:leader="none"/>
          <w:tab w:pos="1085" w:val="left" w:leader="none"/>
        </w:tabs>
        <w:spacing w:line="240" w:lineRule="auto" w:before="187" w:after="0"/>
        <w:ind w:left="1084" w:right="0" w:hanging="907"/>
        <w:jc w:val="left"/>
      </w:pPr>
      <w:bookmarkStart w:name="_TOC_250041" w:id="9"/>
      <w:bookmarkEnd w:id="9"/>
      <w:r>
        <w:rPr/>
        <w:t>Design situations</w:t>
      </w:r>
    </w:p>
    <w:p>
      <w:pPr>
        <w:pStyle w:val="BodyText"/>
        <w:spacing w:line="312" w:lineRule="auto" w:before="202"/>
        <w:ind w:left="177" w:right="111"/>
        <w:jc w:val="both"/>
      </w:pPr>
      <w:r>
        <w:rPr/>
        <w:t>Actions, environmental influences and structural properties may vary with time. Such variations, which occur throughout the lifetime of the structure, should be considered by selected design situations, each one representing a certain time intervall with associated hazards, conditions and relevant structural limit states.</w:t>
      </w:r>
    </w:p>
    <w:p>
      <w:pPr>
        <w:pStyle w:val="BodyText"/>
        <w:spacing w:before="8"/>
        <w:rPr>
          <w:sz w:val="31"/>
        </w:rPr>
      </w:pPr>
    </w:p>
    <w:p>
      <w:pPr>
        <w:pStyle w:val="BodyText"/>
        <w:ind w:left="177"/>
      </w:pPr>
      <w:r>
        <w:rPr/>
        <w:t>The design situations may be classified as:</w:t>
      </w:r>
    </w:p>
    <w:p>
      <w:pPr>
        <w:pStyle w:val="BodyText"/>
        <w:spacing w:before="7"/>
        <w:rPr>
          <w:sz w:val="38"/>
        </w:rPr>
      </w:pPr>
    </w:p>
    <w:p>
      <w:pPr>
        <w:pStyle w:val="BodyText"/>
        <w:spacing w:line="312" w:lineRule="auto"/>
        <w:ind w:left="177" w:right="191"/>
      </w:pPr>
      <w:r>
        <w:rPr>
          <w:i/>
        </w:rPr>
        <w:t>Persistent situations</w:t>
      </w:r>
      <w:r>
        <w:rPr/>
        <w:t>, which refer to conditions of normal use of the structure and are generally related to the working life of the</w:t>
      </w:r>
      <w:r>
        <w:rPr>
          <w:spacing w:val="-2"/>
        </w:rPr>
        <w:t> </w:t>
      </w:r>
      <w:r>
        <w:rPr/>
        <w:t>structure.</w:t>
      </w:r>
    </w:p>
    <w:p>
      <w:pPr>
        <w:pStyle w:val="BodyText"/>
        <w:spacing w:line="312" w:lineRule="auto" w:before="3"/>
        <w:ind w:left="177" w:right="191"/>
      </w:pPr>
      <w:r>
        <w:rPr>
          <w:i/>
        </w:rPr>
        <w:t>Transient situations</w:t>
      </w:r>
      <w:r>
        <w:rPr/>
        <w:t>, which refer to temporary conditions of the structure, in terms of its use or its exposure.</w:t>
      </w:r>
    </w:p>
    <w:p>
      <w:pPr>
        <w:spacing w:before="2"/>
        <w:ind w:left="177" w:right="0" w:firstLine="0"/>
        <w:jc w:val="left"/>
        <w:rPr>
          <w:sz w:val="24"/>
        </w:rPr>
      </w:pPr>
      <w:r>
        <w:rPr>
          <w:i/>
          <w:sz w:val="24"/>
        </w:rPr>
        <w:t>Accidental situations</w:t>
      </w:r>
      <w:r>
        <w:rPr>
          <w:sz w:val="24"/>
        </w:rPr>
        <w:t>, which refer to exceptional conditions of the structure or its exposure.</w:t>
      </w:r>
    </w:p>
    <w:p>
      <w:pPr>
        <w:pStyle w:val="BodyText"/>
        <w:rPr>
          <w:sz w:val="26"/>
        </w:rPr>
      </w:pPr>
    </w:p>
    <w:p>
      <w:pPr>
        <w:pStyle w:val="BodyText"/>
        <w:spacing w:before="8"/>
        <w:rPr>
          <w:sz w:val="33"/>
        </w:rPr>
      </w:pPr>
    </w:p>
    <w:p>
      <w:pPr>
        <w:pStyle w:val="Heading2"/>
        <w:numPr>
          <w:ilvl w:val="0"/>
          <w:numId w:val="2"/>
        </w:numPr>
        <w:tabs>
          <w:tab w:pos="538" w:val="left" w:leader="none"/>
        </w:tabs>
        <w:spacing w:line="240" w:lineRule="auto" w:before="0" w:after="0"/>
        <w:ind w:left="537" w:right="0" w:hanging="360"/>
        <w:jc w:val="left"/>
      </w:pPr>
      <w:bookmarkStart w:name="_TOC_250040" w:id="10"/>
      <w:bookmarkEnd w:id="10"/>
      <w:r>
        <w:rPr/>
        <w:t>Basis of uncerainty modelling</w:t>
      </w:r>
    </w:p>
    <w:p>
      <w:pPr>
        <w:pStyle w:val="Heading2"/>
        <w:numPr>
          <w:ilvl w:val="1"/>
          <w:numId w:val="2"/>
        </w:numPr>
        <w:tabs>
          <w:tab w:pos="1084" w:val="left" w:leader="none"/>
          <w:tab w:pos="1085" w:val="left" w:leader="none"/>
        </w:tabs>
        <w:spacing w:line="240" w:lineRule="auto" w:before="204" w:after="0"/>
        <w:ind w:left="1084" w:right="0" w:hanging="907"/>
        <w:jc w:val="left"/>
      </w:pPr>
      <w:bookmarkStart w:name="_TOC_250039" w:id="11"/>
      <w:bookmarkEnd w:id="11"/>
      <w:r>
        <w:rPr/>
        <w:t>Basic variables</w:t>
      </w:r>
    </w:p>
    <w:p>
      <w:pPr>
        <w:pStyle w:val="BodyText"/>
        <w:spacing w:line="312" w:lineRule="auto" w:before="202"/>
        <w:ind w:left="177" w:right="109"/>
        <w:jc w:val="both"/>
      </w:pPr>
      <w:r>
        <w:rPr/>
        <w:t>The calculation model for each limit state considered should contain a specified set of basic variables, i.e. physical quantities which characterize actions and environmental influences, material and soil properties and geometrical quantities. The model should also contain model parameters which characterize the model itself and which are treated as basic variables (compare 4.2). Finally there are also parameters which describe the requirements (e.g. serviceability constraints) and which may be treated as basic variables. The basic variables (in</w:t>
      </w:r>
    </w:p>
    <w:p>
      <w:pPr>
        <w:spacing w:after="0" w:line="312" w:lineRule="auto"/>
        <w:jc w:val="both"/>
        <w:sectPr>
          <w:pgSz w:w="11910" w:h="16840"/>
          <w:pgMar w:header="0" w:footer="788" w:top="1600" w:bottom="980" w:left="1240" w:right="1300"/>
        </w:sectPr>
      </w:pPr>
    </w:p>
    <w:p>
      <w:pPr>
        <w:pStyle w:val="BodyText"/>
        <w:spacing w:line="312" w:lineRule="auto" w:before="62"/>
        <w:ind w:left="177" w:right="191"/>
      </w:pPr>
      <w:r>
        <w:rPr/>
        <w:t>the wide sence given above) are assumed to carry the entire input information to the calculation model.</w:t>
      </w:r>
    </w:p>
    <w:p>
      <w:pPr>
        <w:pStyle w:val="BodyText"/>
        <w:spacing w:before="5"/>
        <w:rPr>
          <w:sz w:val="31"/>
        </w:rPr>
      </w:pPr>
    </w:p>
    <w:p>
      <w:pPr>
        <w:pStyle w:val="BodyText"/>
        <w:spacing w:line="312" w:lineRule="auto" w:before="1"/>
        <w:ind w:left="177" w:right="111"/>
        <w:jc w:val="both"/>
      </w:pPr>
      <w:r>
        <w:rPr/>
        <w:t>The basic variables may be random variables (indlucing the special case deterministic variables) or stochastic processes or random fields. Each basic variable is defined by a number of parameters such as mean, standard deviation, parameters determining the correlation structure etc.</w:t>
      </w:r>
    </w:p>
    <w:p>
      <w:pPr>
        <w:pStyle w:val="BodyText"/>
        <w:rPr>
          <w:sz w:val="26"/>
        </w:rPr>
      </w:pPr>
    </w:p>
    <w:p>
      <w:pPr>
        <w:pStyle w:val="Heading2"/>
        <w:numPr>
          <w:ilvl w:val="1"/>
          <w:numId w:val="2"/>
        </w:numPr>
        <w:tabs>
          <w:tab w:pos="1084" w:val="left" w:leader="none"/>
          <w:tab w:pos="1085" w:val="left" w:leader="none"/>
        </w:tabs>
        <w:spacing w:line="240" w:lineRule="auto" w:before="188" w:after="0"/>
        <w:ind w:left="1084" w:right="0" w:hanging="907"/>
        <w:jc w:val="left"/>
      </w:pPr>
      <w:bookmarkStart w:name="_TOC_250038" w:id="12"/>
      <w:bookmarkEnd w:id="12"/>
      <w:r>
        <w:rPr/>
        <w:t>Types of uncertainty</w:t>
      </w:r>
    </w:p>
    <w:p>
      <w:pPr>
        <w:pStyle w:val="BodyText"/>
        <w:spacing w:line="312" w:lineRule="auto" w:before="202"/>
        <w:ind w:left="177"/>
      </w:pPr>
      <w:r>
        <w:rPr/>
        <w:t>Uncertainties from </w:t>
      </w:r>
      <w:r>
        <w:rPr>
          <w:i/>
        </w:rPr>
        <w:t>all essential sources </w:t>
      </w:r>
      <w:r>
        <w:rPr/>
        <w:t>must be evaluated and integrated in a basic variable model. Types of uncertainty to be taken into account are:</w:t>
      </w:r>
    </w:p>
    <w:p>
      <w:pPr>
        <w:pStyle w:val="BodyText"/>
        <w:spacing w:before="5"/>
        <w:rPr>
          <w:sz w:val="31"/>
        </w:rPr>
      </w:pPr>
    </w:p>
    <w:p>
      <w:pPr>
        <w:pStyle w:val="ListParagraph"/>
        <w:numPr>
          <w:ilvl w:val="0"/>
          <w:numId w:val="3"/>
        </w:numPr>
        <w:tabs>
          <w:tab w:pos="886" w:val="left" w:leader="none"/>
          <w:tab w:pos="887" w:val="left" w:leader="none"/>
        </w:tabs>
        <w:spacing w:line="240" w:lineRule="auto" w:before="1" w:after="0"/>
        <w:ind w:left="886" w:right="0" w:hanging="709"/>
        <w:jc w:val="left"/>
        <w:rPr>
          <w:sz w:val="24"/>
        </w:rPr>
      </w:pPr>
      <w:r>
        <w:rPr>
          <w:sz w:val="24"/>
        </w:rPr>
        <w:t>intrinsic physical or mechanical</w:t>
      </w:r>
      <w:r>
        <w:rPr>
          <w:spacing w:val="-1"/>
          <w:sz w:val="24"/>
        </w:rPr>
        <w:t> </w:t>
      </w:r>
      <w:r>
        <w:rPr>
          <w:sz w:val="24"/>
        </w:rPr>
        <w:t>uncertainty</w:t>
      </w:r>
    </w:p>
    <w:p>
      <w:pPr>
        <w:pStyle w:val="ListParagraph"/>
        <w:numPr>
          <w:ilvl w:val="0"/>
          <w:numId w:val="3"/>
        </w:numPr>
        <w:tabs>
          <w:tab w:pos="886" w:val="left" w:leader="none"/>
          <w:tab w:pos="887" w:val="left" w:leader="none"/>
        </w:tabs>
        <w:spacing w:line="312" w:lineRule="auto" w:before="84" w:after="0"/>
        <w:ind w:left="886" w:right="112" w:hanging="709"/>
        <w:jc w:val="left"/>
        <w:rPr>
          <w:sz w:val="24"/>
        </w:rPr>
      </w:pPr>
      <w:r>
        <w:rPr>
          <w:sz w:val="24"/>
        </w:rPr>
        <w:t>statistical uncertainty, when the design decisions are based on a small sample of observations or when there are other similar</w:t>
      </w:r>
      <w:r>
        <w:rPr>
          <w:spacing w:val="-1"/>
          <w:sz w:val="24"/>
        </w:rPr>
        <w:t> </w:t>
      </w:r>
      <w:r>
        <w:rPr>
          <w:sz w:val="24"/>
        </w:rPr>
        <w:t>conditions</w:t>
      </w:r>
    </w:p>
    <w:p>
      <w:pPr>
        <w:pStyle w:val="ListParagraph"/>
        <w:numPr>
          <w:ilvl w:val="0"/>
          <w:numId w:val="3"/>
        </w:numPr>
        <w:tabs>
          <w:tab w:pos="886" w:val="left" w:leader="none"/>
          <w:tab w:pos="887" w:val="left" w:leader="none"/>
        </w:tabs>
        <w:spacing w:line="240" w:lineRule="auto" w:before="2" w:after="0"/>
        <w:ind w:left="886" w:right="0" w:hanging="709"/>
        <w:jc w:val="left"/>
        <w:rPr>
          <w:sz w:val="24"/>
        </w:rPr>
      </w:pPr>
      <w:r>
        <w:rPr>
          <w:sz w:val="24"/>
        </w:rPr>
        <w:t>model uncertainties (see</w:t>
      </w:r>
      <w:r>
        <w:rPr>
          <w:spacing w:val="-1"/>
          <w:sz w:val="24"/>
        </w:rPr>
        <w:t> </w:t>
      </w:r>
      <w:r>
        <w:rPr>
          <w:sz w:val="24"/>
        </w:rPr>
        <w:t>5.6).</w:t>
      </w:r>
    </w:p>
    <w:p>
      <w:pPr>
        <w:pStyle w:val="BodyText"/>
        <w:spacing w:before="7"/>
        <w:rPr>
          <w:sz w:val="38"/>
        </w:rPr>
      </w:pPr>
    </w:p>
    <w:p>
      <w:pPr>
        <w:pStyle w:val="BodyText"/>
        <w:spacing w:line="312" w:lineRule="auto"/>
        <w:ind w:left="177" w:right="112"/>
        <w:jc w:val="both"/>
      </w:pPr>
      <w:r>
        <w:rPr/>
        <w:t>Within given classes of structural design problems the types of probability distributions of the basic variables should be standardized. These standardizations are defined in the parts 2 and 3 of the probabilistic model code.</w:t>
      </w:r>
    </w:p>
    <w:p>
      <w:pPr>
        <w:pStyle w:val="BodyText"/>
        <w:rPr>
          <w:sz w:val="26"/>
        </w:rPr>
      </w:pPr>
    </w:p>
    <w:p>
      <w:pPr>
        <w:pStyle w:val="Heading2"/>
        <w:numPr>
          <w:ilvl w:val="1"/>
          <w:numId w:val="2"/>
        </w:numPr>
        <w:tabs>
          <w:tab w:pos="1084" w:val="left" w:leader="none"/>
          <w:tab w:pos="1085" w:val="left" w:leader="none"/>
        </w:tabs>
        <w:spacing w:line="240" w:lineRule="auto" w:before="187" w:after="0"/>
        <w:ind w:left="1084" w:right="0" w:hanging="907"/>
        <w:jc w:val="left"/>
      </w:pPr>
      <w:bookmarkStart w:name="_TOC_250037" w:id="13"/>
      <w:bookmarkEnd w:id="13"/>
      <w:r>
        <w:rPr/>
        <w:t>Definition of populations</w:t>
      </w:r>
    </w:p>
    <w:p>
      <w:pPr>
        <w:pStyle w:val="BodyText"/>
        <w:spacing w:line="312" w:lineRule="auto" w:before="202"/>
        <w:ind w:left="177" w:right="111"/>
        <w:jc w:val="both"/>
      </w:pPr>
      <w:r>
        <w:rPr/>
        <w:t>The random quantities within a reliability analysis should always be related to a meaningfull and consistent set of populations. The description of the random quantities should correspond to this set and the resulting failure probability is only valid for the same set.</w:t>
      </w:r>
    </w:p>
    <w:p>
      <w:pPr>
        <w:pStyle w:val="BodyText"/>
        <w:spacing w:before="7"/>
        <w:rPr>
          <w:sz w:val="31"/>
        </w:rPr>
      </w:pPr>
    </w:p>
    <w:p>
      <w:pPr>
        <w:pStyle w:val="BodyText"/>
        <w:spacing w:line="312" w:lineRule="auto"/>
        <w:ind w:left="177"/>
      </w:pPr>
      <w:r>
        <w:rPr/>
        <w:t>The basis for the definition of a population is in most cases the physical background of the variable. Factors which may define the population are:</w:t>
      </w:r>
    </w:p>
    <w:p>
      <w:pPr>
        <w:pStyle w:val="BodyText"/>
        <w:spacing w:before="6"/>
        <w:rPr>
          <w:sz w:val="31"/>
        </w:rPr>
      </w:pPr>
    </w:p>
    <w:p>
      <w:pPr>
        <w:pStyle w:val="ListParagraph"/>
        <w:numPr>
          <w:ilvl w:val="0"/>
          <w:numId w:val="3"/>
        </w:numPr>
        <w:tabs>
          <w:tab w:pos="318" w:val="left" w:leader="none"/>
        </w:tabs>
        <w:spacing w:line="240" w:lineRule="auto" w:before="0" w:after="0"/>
        <w:ind w:left="317" w:right="0" w:hanging="140"/>
        <w:jc w:val="left"/>
        <w:rPr>
          <w:sz w:val="24"/>
        </w:rPr>
      </w:pPr>
      <w:r>
        <w:rPr>
          <w:sz w:val="24"/>
        </w:rPr>
        <w:t>the nature and origin of a random</w:t>
      </w:r>
      <w:r>
        <w:rPr>
          <w:spacing w:val="-2"/>
          <w:sz w:val="24"/>
        </w:rPr>
        <w:t> </w:t>
      </w:r>
      <w:r>
        <w:rPr>
          <w:sz w:val="24"/>
        </w:rPr>
        <w:t>quantity</w:t>
      </w:r>
    </w:p>
    <w:p>
      <w:pPr>
        <w:pStyle w:val="ListParagraph"/>
        <w:numPr>
          <w:ilvl w:val="0"/>
          <w:numId w:val="3"/>
        </w:numPr>
        <w:tabs>
          <w:tab w:pos="318" w:val="left" w:leader="none"/>
        </w:tabs>
        <w:spacing w:line="240" w:lineRule="auto" w:before="84" w:after="0"/>
        <w:ind w:left="317" w:right="0" w:hanging="140"/>
        <w:jc w:val="left"/>
        <w:rPr>
          <w:sz w:val="24"/>
        </w:rPr>
      </w:pPr>
      <w:r>
        <w:rPr>
          <w:sz w:val="24"/>
        </w:rPr>
        <w:t>the spatial conditions (e.g. the geographical region considered)</w:t>
      </w:r>
    </w:p>
    <w:p>
      <w:pPr>
        <w:pStyle w:val="ListParagraph"/>
        <w:numPr>
          <w:ilvl w:val="0"/>
          <w:numId w:val="3"/>
        </w:numPr>
        <w:tabs>
          <w:tab w:pos="318" w:val="left" w:leader="none"/>
        </w:tabs>
        <w:spacing w:line="240" w:lineRule="auto" w:before="84" w:after="0"/>
        <w:ind w:left="317" w:right="0" w:hanging="140"/>
        <w:jc w:val="left"/>
        <w:rPr>
          <w:sz w:val="24"/>
        </w:rPr>
      </w:pPr>
      <w:r>
        <w:rPr>
          <w:sz w:val="24"/>
        </w:rPr>
        <w:t>the temporal conditions (e.g. the intended time of use of the structure</w:t>
      </w:r>
      <w:r>
        <w:rPr>
          <w:spacing w:val="-2"/>
          <w:sz w:val="24"/>
        </w:rPr>
        <w:t> </w:t>
      </w:r>
      <w:r>
        <w:rPr>
          <w:sz w:val="24"/>
        </w:rPr>
        <w:t>considered)</w:t>
      </w:r>
    </w:p>
    <w:p>
      <w:pPr>
        <w:pStyle w:val="BodyText"/>
        <w:spacing w:before="7"/>
        <w:rPr>
          <w:sz w:val="38"/>
        </w:rPr>
      </w:pPr>
    </w:p>
    <w:p>
      <w:pPr>
        <w:pStyle w:val="BodyText"/>
        <w:spacing w:line="312" w:lineRule="auto"/>
        <w:ind w:left="177" w:right="111"/>
        <w:jc w:val="both"/>
      </w:pPr>
      <w:r>
        <w:rPr/>
        <w:t>The choice of a population is to some extent a free choice of the designer. It may depend on the objective of the analysis, the amount and nature of the available data and the amount of work that can be afforded.</w:t>
      </w:r>
    </w:p>
    <w:p>
      <w:pPr>
        <w:spacing w:after="0" w:line="312" w:lineRule="auto"/>
        <w:jc w:val="both"/>
        <w:sectPr>
          <w:pgSz w:w="11910" w:h="16840"/>
          <w:pgMar w:header="0" w:footer="788" w:top="1460" w:bottom="980" w:left="1240" w:right="1300"/>
        </w:sectPr>
      </w:pPr>
    </w:p>
    <w:p>
      <w:pPr>
        <w:pStyle w:val="BodyText"/>
        <w:spacing w:line="312" w:lineRule="auto" w:before="62"/>
        <w:ind w:left="177" w:right="112"/>
        <w:jc w:val="both"/>
      </w:pPr>
      <w:r>
        <w:rPr/>
        <w:t>In connection with theoretical treatment of data and with the evaluation of observations it is often convenient to divide the largest population into sub-populations which in turn are further divided in smaller sub-populations etc. Then it is possible to study and distinguish variability within a population and variability between different populations.</w:t>
      </w:r>
    </w:p>
    <w:p>
      <w:pPr>
        <w:pStyle w:val="BodyText"/>
        <w:spacing w:before="8"/>
        <w:rPr>
          <w:sz w:val="31"/>
        </w:rPr>
      </w:pPr>
    </w:p>
    <w:p>
      <w:pPr>
        <w:pStyle w:val="BodyText"/>
        <w:spacing w:line="312" w:lineRule="auto"/>
        <w:ind w:left="177" w:right="110"/>
        <w:jc w:val="both"/>
      </w:pPr>
      <w:r>
        <w:rPr/>
        <w:t>In an analysis for a specific structure it may be efficient to define a population as small as possible as far as use, shape and location of the structure are concerned (microzonation). When the results are used for design in a national or international code, it may be necessary or convenient to put the sub-populations together to the large population again in order not to get too complicated rules (randomizing). This means that the variability within the population is increased.</w:t>
      </w:r>
    </w:p>
    <w:p>
      <w:pPr>
        <w:pStyle w:val="BodyText"/>
        <w:rPr>
          <w:sz w:val="26"/>
        </w:rPr>
      </w:pPr>
    </w:p>
    <w:p>
      <w:pPr>
        <w:pStyle w:val="Heading2"/>
        <w:numPr>
          <w:ilvl w:val="1"/>
          <w:numId w:val="2"/>
        </w:numPr>
        <w:tabs>
          <w:tab w:pos="1084" w:val="left" w:leader="none"/>
          <w:tab w:pos="1085" w:val="left" w:leader="none"/>
        </w:tabs>
        <w:spacing w:line="240" w:lineRule="auto" w:before="191" w:after="0"/>
        <w:ind w:left="1084" w:right="0" w:hanging="907"/>
        <w:jc w:val="left"/>
      </w:pPr>
      <w:bookmarkStart w:name="_TOC_250036" w:id="14"/>
      <w:bookmarkEnd w:id="14"/>
      <w:r>
        <w:rPr/>
        <w:t>Hierarchy of uncertainty models</w:t>
      </w:r>
    </w:p>
    <w:p>
      <w:pPr>
        <w:pStyle w:val="BodyText"/>
        <w:spacing w:line="312" w:lineRule="auto" w:before="202"/>
        <w:ind w:left="177" w:right="111"/>
        <w:jc w:val="both"/>
      </w:pPr>
      <w:r>
        <w:rPr/>
        <w:t>This section contains a convenient and recommended mathematical description in general terms of a hierarchical model which can be used for different kinds of actions and materials. The details of this model have to be stated more precisely for each specific variable. The model is associated with a hierarchical set of subpopulations.</w:t>
      </w:r>
    </w:p>
    <w:p>
      <w:pPr>
        <w:pStyle w:val="BodyText"/>
        <w:spacing w:before="8"/>
        <w:rPr>
          <w:sz w:val="31"/>
        </w:rPr>
      </w:pPr>
    </w:p>
    <w:p>
      <w:pPr>
        <w:pStyle w:val="BodyText"/>
        <w:spacing w:line="312" w:lineRule="auto"/>
        <w:ind w:left="177" w:right="114"/>
        <w:jc w:val="both"/>
      </w:pPr>
      <w:r>
        <w:rPr/>
        <w:t>The hierarchical model assumes that a random quantity X can be written as a function of several variables, each one representing a specific type of variability:</w:t>
      </w:r>
    </w:p>
    <w:p>
      <w:pPr>
        <w:pStyle w:val="BodyText"/>
        <w:spacing w:before="6"/>
        <w:rPr>
          <w:sz w:val="31"/>
        </w:rPr>
      </w:pPr>
    </w:p>
    <w:p>
      <w:pPr>
        <w:pStyle w:val="BodyText"/>
        <w:tabs>
          <w:tab w:pos="7978" w:val="left" w:leader="none"/>
        </w:tabs>
        <w:ind w:left="886"/>
      </w:pPr>
      <w:r>
        <w:rPr/>
        <w:t>X</w:t>
      </w:r>
      <w:r>
        <w:rPr>
          <w:vertAlign w:val="subscript"/>
        </w:rPr>
        <w:t>ijk</w:t>
      </w:r>
      <w:r>
        <w:rPr>
          <w:vertAlign w:val="baseline"/>
        </w:rPr>
        <w:t> = f (Y</w:t>
      </w:r>
      <w:r>
        <w:rPr>
          <w:vertAlign w:val="subscript"/>
        </w:rPr>
        <w:t>i</w:t>
      </w:r>
      <w:r>
        <w:rPr>
          <w:vertAlign w:val="baseline"/>
        </w:rPr>
        <w:t>,</w:t>
      </w:r>
      <w:r>
        <w:rPr>
          <w:spacing w:val="-29"/>
          <w:vertAlign w:val="baseline"/>
        </w:rPr>
        <w:t> </w:t>
      </w:r>
      <w:r>
        <w:rPr>
          <w:vertAlign w:val="baseline"/>
        </w:rPr>
        <w:t>Y</w:t>
      </w:r>
      <w:r>
        <w:rPr>
          <w:vertAlign w:val="subscript"/>
        </w:rPr>
        <w:t>ij</w:t>
      </w:r>
      <w:r>
        <w:rPr>
          <w:vertAlign w:val="baseline"/>
        </w:rPr>
        <w:t>,</w:t>
      </w:r>
      <w:r>
        <w:rPr>
          <w:spacing w:val="-3"/>
          <w:vertAlign w:val="baseline"/>
        </w:rPr>
        <w:t> </w:t>
      </w:r>
      <w:r>
        <w:rPr>
          <w:vertAlign w:val="baseline"/>
        </w:rPr>
        <w:t>Y</w:t>
      </w:r>
      <w:r>
        <w:rPr>
          <w:vertAlign w:val="subscript"/>
        </w:rPr>
        <w:t>ijk</w:t>
      </w:r>
      <w:r>
        <w:rPr>
          <w:vertAlign w:val="baseline"/>
        </w:rPr>
        <w:t>)</w:t>
        <w:tab/>
        <w:t>(3)</w:t>
      </w:r>
    </w:p>
    <w:p>
      <w:pPr>
        <w:pStyle w:val="BodyText"/>
        <w:spacing w:before="7"/>
        <w:rPr>
          <w:sz w:val="38"/>
        </w:rPr>
      </w:pPr>
    </w:p>
    <w:p>
      <w:pPr>
        <w:pStyle w:val="BodyText"/>
        <w:ind w:left="177"/>
      </w:pPr>
      <w:r>
        <w:rPr/>
        <w:t>The Y represent various origins, time scales of fluctuation or spatial scales of fluctuation.</w:t>
      </w:r>
    </w:p>
    <w:p>
      <w:pPr>
        <w:pStyle w:val="BodyText"/>
        <w:spacing w:before="7"/>
        <w:rPr>
          <w:sz w:val="38"/>
        </w:rPr>
      </w:pPr>
    </w:p>
    <w:p>
      <w:pPr>
        <w:pStyle w:val="BodyText"/>
        <w:spacing w:line="312" w:lineRule="auto"/>
        <w:ind w:left="177" w:right="113"/>
        <w:jc w:val="both"/>
      </w:pPr>
      <w:r>
        <w:rPr/>
        <w:t>For instance Y</w:t>
      </w:r>
      <w:r>
        <w:rPr>
          <w:vertAlign w:val="subscript"/>
        </w:rPr>
        <w:t>i</w:t>
      </w:r>
      <w:r>
        <w:rPr>
          <w:vertAlign w:val="baseline"/>
        </w:rPr>
        <w:t> may represent the building to building variation, Y</w:t>
      </w:r>
      <w:r>
        <w:rPr>
          <w:vertAlign w:val="subscript"/>
        </w:rPr>
        <w:t>ij</w:t>
      </w:r>
      <w:r>
        <w:rPr>
          <w:vertAlign w:val="baseline"/>
        </w:rPr>
        <w:t> the floor to floor variation in building i and Y</w:t>
      </w:r>
      <w:r>
        <w:rPr>
          <w:vertAlign w:val="subscript"/>
        </w:rPr>
        <w:t>ijk</w:t>
      </w:r>
      <w:r>
        <w:rPr>
          <w:vertAlign w:val="baseline"/>
        </w:rPr>
        <w:t> the point to point variation on floor j in building i.</w:t>
      </w:r>
    </w:p>
    <w:p>
      <w:pPr>
        <w:pStyle w:val="BodyText"/>
        <w:spacing w:before="6"/>
        <w:rPr>
          <w:sz w:val="31"/>
        </w:rPr>
      </w:pPr>
    </w:p>
    <w:p>
      <w:pPr>
        <w:pStyle w:val="BodyText"/>
        <w:spacing w:line="312" w:lineRule="auto"/>
        <w:ind w:left="177" w:right="113"/>
        <w:jc w:val="both"/>
      </w:pPr>
      <w:r>
        <w:rPr/>
        <w:t>In a similar way, Y</w:t>
      </w:r>
      <w:r>
        <w:rPr>
          <w:vertAlign w:val="subscript"/>
        </w:rPr>
        <w:t>i</w:t>
      </w:r>
      <w:r>
        <w:rPr>
          <w:vertAlign w:val="baseline"/>
        </w:rPr>
        <w:t> may represent the constant in time variability, Y</w:t>
      </w:r>
      <w:r>
        <w:rPr>
          <w:vertAlign w:val="subscript"/>
        </w:rPr>
        <w:t>ij</w:t>
      </w:r>
      <w:r>
        <w:rPr>
          <w:vertAlign w:val="baseline"/>
        </w:rPr>
        <w:t> a slowly fluctuating time process and Y</w:t>
      </w:r>
      <w:r>
        <w:rPr>
          <w:vertAlign w:val="subscript"/>
        </w:rPr>
        <w:t>ijk</w:t>
      </w:r>
      <w:r>
        <w:rPr>
          <w:vertAlign w:val="baseline"/>
        </w:rPr>
        <w:t> a fast fluctuating time</w:t>
      </w:r>
      <w:r>
        <w:rPr>
          <w:spacing w:val="-22"/>
          <w:vertAlign w:val="baseline"/>
        </w:rPr>
        <w:t> </w:t>
      </w:r>
      <w:r>
        <w:rPr>
          <w:vertAlign w:val="baseline"/>
        </w:rPr>
        <w:t>process.</w:t>
      </w:r>
    </w:p>
    <w:p>
      <w:pPr>
        <w:pStyle w:val="BodyText"/>
        <w:rPr>
          <w:sz w:val="28"/>
        </w:rPr>
      </w:pPr>
    </w:p>
    <w:p>
      <w:pPr>
        <w:pStyle w:val="BodyText"/>
        <w:spacing w:before="7"/>
      </w:pPr>
    </w:p>
    <w:p>
      <w:pPr>
        <w:pStyle w:val="Heading2"/>
        <w:numPr>
          <w:ilvl w:val="0"/>
          <w:numId w:val="2"/>
        </w:numPr>
        <w:tabs>
          <w:tab w:pos="538" w:val="left" w:leader="none"/>
        </w:tabs>
        <w:spacing w:line="240" w:lineRule="auto" w:before="0" w:after="0"/>
        <w:ind w:left="537" w:right="0" w:hanging="360"/>
        <w:jc w:val="left"/>
      </w:pPr>
      <w:bookmarkStart w:name="_TOC_250035" w:id="15"/>
      <w:bookmarkEnd w:id="15"/>
      <w:r>
        <w:rPr/>
        <w:t>Models for physical behaviour</w:t>
      </w:r>
    </w:p>
    <w:p>
      <w:pPr>
        <w:pStyle w:val="Heading2"/>
        <w:numPr>
          <w:ilvl w:val="1"/>
          <w:numId w:val="2"/>
        </w:numPr>
        <w:tabs>
          <w:tab w:pos="1084" w:val="left" w:leader="none"/>
          <w:tab w:pos="1085" w:val="left" w:leader="none"/>
        </w:tabs>
        <w:spacing w:line="240" w:lineRule="auto" w:before="204" w:after="0"/>
        <w:ind w:left="1084" w:right="0" w:hanging="907"/>
        <w:jc w:val="left"/>
      </w:pPr>
      <w:bookmarkStart w:name="_TOC_250034" w:id="16"/>
      <w:bookmarkEnd w:id="16"/>
      <w:r>
        <w:rPr/>
        <w:t>General</w:t>
      </w:r>
    </w:p>
    <w:p>
      <w:pPr>
        <w:pStyle w:val="BodyText"/>
        <w:spacing w:line="312" w:lineRule="auto" w:before="202"/>
        <w:ind w:left="177" w:right="111"/>
        <w:jc w:val="both"/>
      </w:pPr>
      <w:r>
        <w:rPr/>
        <w:t>Calculation models shall describe the structure and its behaviour up to the limit state under consideration, accounting for relevant actions and environmental influences. Models should</w:t>
      </w:r>
    </w:p>
    <w:p>
      <w:pPr>
        <w:spacing w:after="0" w:line="312" w:lineRule="auto"/>
        <w:jc w:val="both"/>
        <w:sectPr>
          <w:pgSz w:w="11910" w:h="16840"/>
          <w:pgMar w:header="0" w:footer="788" w:top="1460" w:bottom="980" w:left="1240" w:right="1300"/>
        </w:sectPr>
      </w:pPr>
    </w:p>
    <w:p>
      <w:pPr>
        <w:pStyle w:val="BodyText"/>
        <w:spacing w:line="312" w:lineRule="auto" w:before="62"/>
        <w:ind w:left="177" w:right="191"/>
      </w:pPr>
      <w:r>
        <w:rPr/>
        <w:t>generally be regarded as simplifications which take account of decisive factors and neglect  the less important</w:t>
      </w:r>
      <w:r>
        <w:rPr>
          <w:spacing w:val="-1"/>
        </w:rPr>
        <w:t> </w:t>
      </w:r>
      <w:r>
        <w:rPr/>
        <w:t>ones.</w:t>
      </w:r>
    </w:p>
    <w:p>
      <w:pPr>
        <w:pStyle w:val="BodyText"/>
        <w:spacing w:before="5"/>
        <w:rPr>
          <w:sz w:val="31"/>
        </w:rPr>
      </w:pPr>
    </w:p>
    <w:p>
      <w:pPr>
        <w:pStyle w:val="BodyText"/>
        <w:spacing w:before="1"/>
        <w:ind w:left="177"/>
      </w:pPr>
      <w:r>
        <w:rPr/>
        <w:t>One can often distinguish between:</w:t>
      </w:r>
    </w:p>
    <w:p>
      <w:pPr>
        <w:pStyle w:val="ListParagraph"/>
        <w:numPr>
          <w:ilvl w:val="0"/>
          <w:numId w:val="3"/>
        </w:numPr>
        <w:tabs>
          <w:tab w:pos="886" w:val="left" w:leader="none"/>
          <w:tab w:pos="887" w:val="left" w:leader="none"/>
        </w:tabs>
        <w:spacing w:line="240" w:lineRule="auto" w:before="84" w:after="0"/>
        <w:ind w:left="886" w:right="0" w:hanging="709"/>
        <w:jc w:val="left"/>
        <w:rPr>
          <w:sz w:val="24"/>
        </w:rPr>
      </w:pPr>
      <w:r>
        <w:rPr>
          <w:sz w:val="24"/>
        </w:rPr>
        <w:t>action</w:t>
      </w:r>
      <w:r>
        <w:rPr>
          <w:spacing w:val="-1"/>
          <w:sz w:val="24"/>
        </w:rPr>
        <w:t> </w:t>
      </w:r>
      <w:r>
        <w:rPr>
          <w:sz w:val="24"/>
        </w:rPr>
        <w:t>models</w:t>
      </w:r>
    </w:p>
    <w:p>
      <w:pPr>
        <w:pStyle w:val="ListParagraph"/>
        <w:numPr>
          <w:ilvl w:val="0"/>
          <w:numId w:val="3"/>
        </w:numPr>
        <w:tabs>
          <w:tab w:pos="886" w:val="left" w:leader="none"/>
          <w:tab w:pos="887" w:val="left" w:leader="none"/>
        </w:tabs>
        <w:spacing w:line="240" w:lineRule="auto" w:before="84" w:after="0"/>
        <w:ind w:left="886" w:right="0" w:hanging="709"/>
        <w:jc w:val="left"/>
        <w:rPr>
          <w:sz w:val="24"/>
        </w:rPr>
      </w:pPr>
      <w:r>
        <w:rPr>
          <w:sz w:val="24"/>
        </w:rPr>
        <w:t>structural models which give action effects (internal forces, moments</w:t>
      </w:r>
      <w:r>
        <w:rPr>
          <w:spacing w:val="-2"/>
          <w:sz w:val="24"/>
        </w:rPr>
        <w:t> </w:t>
      </w:r>
      <w:r>
        <w:rPr>
          <w:sz w:val="24"/>
        </w:rPr>
        <w:t>etc.)</w:t>
      </w:r>
    </w:p>
    <w:p>
      <w:pPr>
        <w:pStyle w:val="ListParagraph"/>
        <w:numPr>
          <w:ilvl w:val="0"/>
          <w:numId w:val="3"/>
        </w:numPr>
        <w:tabs>
          <w:tab w:pos="886" w:val="left" w:leader="none"/>
          <w:tab w:pos="887" w:val="left" w:leader="none"/>
        </w:tabs>
        <w:spacing w:line="312" w:lineRule="auto" w:before="84" w:after="0"/>
        <w:ind w:left="886" w:right="110" w:hanging="709"/>
        <w:jc w:val="left"/>
        <w:rPr>
          <w:sz w:val="24"/>
        </w:rPr>
      </w:pPr>
      <w:r>
        <w:rPr>
          <w:sz w:val="24"/>
        </w:rPr>
        <w:t>resistance models which give resistances corresponding to the action effects, and are based on.</w:t>
      </w:r>
    </w:p>
    <w:p>
      <w:pPr>
        <w:pStyle w:val="ListParagraph"/>
        <w:numPr>
          <w:ilvl w:val="0"/>
          <w:numId w:val="3"/>
        </w:numPr>
        <w:tabs>
          <w:tab w:pos="886" w:val="left" w:leader="none"/>
          <w:tab w:pos="887" w:val="left" w:leader="none"/>
        </w:tabs>
        <w:spacing w:line="240" w:lineRule="auto" w:before="2" w:after="0"/>
        <w:ind w:left="886" w:right="0" w:hanging="709"/>
        <w:jc w:val="left"/>
        <w:rPr>
          <w:sz w:val="24"/>
        </w:rPr>
      </w:pPr>
      <w:r>
        <w:rPr>
          <w:sz w:val="24"/>
        </w:rPr>
        <w:t>material models and geometry models</w:t>
      </w:r>
      <w:r>
        <w:rPr>
          <w:spacing w:val="-1"/>
          <w:sz w:val="24"/>
        </w:rPr>
        <w:t> </w:t>
      </w:r>
      <w:r>
        <w:rPr>
          <w:sz w:val="24"/>
        </w:rPr>
        <w:t>.</w:t>
      </w:r>
    </w:p>
    <w:p>
      <w:pPr>
        <w:pStyle w:val="BodyText"/>
        <w:spacing w:before="7"/>
        <w:rPr>
          <w:sz w:val="38"/>
        </w:rPr>
      </w:pPr>
    </w:p>
    <w:p>
      <w:pPr>
        <w:pStyle w:val="BodyText"/>
        <w:spacing w:line="312" w:lineRule="auto"/>
        <w:ind w:left="177" w:right="111"/>
        <w:jc w:val="both"/>
      </w:pPr>
      <w:r>
        <w:rPr/>
        <w:t>However, in some cases it is not possible or convenient to make this distinction, for example, if the instability or loss of equilibrium of an entire structural system is studied or if interactions between loads and structural response are of interest.</w:t>
      </w:r>
    </w:p>
    <w:p>
      <w:pPr>
        <w:pStyle w:val="BodyText"/>
        <w:rPr>
          <w:sz w:val="26"/>
        </w:rPr>
      </w:pPr>
    </w:p>
    <w:p>
      <w:pPr>
        <w:pStyle w:val="Heading2"/>
        <w:numPr>
          <w:ilvl w:val="1"/>
          <w:numId w:val="2"/>
        </w:numPr>
        <w:tabs>
          <w:tab w:pos="1084" w:val="left" w:leader="none"/>
          <w:tab w:pos="1085" w:val="left" w:leader="none"/>
        </w:tabs>
        <w:spacing w:line="240" w:lineRule="auto" w:before="187" w:after="0"/>
        <w:ind w:left="1084" w:right="0" w:hanging="907"/>
        <w:jc w:val="left"/>
      </w:pPr>
      <w:bookmarkStart w:name="_TOC_250033" w:id="17"/>
      <w:bookmarkEnd w:id="17"/>
      <w:r>
        <w:rPr/>
        <w:t>Action models</w:t>
      </w:r>
    </w:p>
    <w:p>
      <w:pPr>
        <w:pStyle w:val="BodyText"/>
        <w:spacing w:line="312" w:lineRule="auto" w:before="202"/>
        <w:ind w:left="177" w:right="111"/>
        <w:jc w:val="both"/>
      </w:pPr>
      <w:r>
        <w:rPr/>
        <w:t>A complete action model should describe several properties of the action such as its magnitude, position, direction, duration etc. In some cases there is an interaction between the different properties and also between these properties and the response of the structure. Such interactions should be taken into account.</w:t>
      </w:r>
    </w:p>
    <w:p>
      <w:pPr>
        <w:pStyle w:val="BodyText"/>
        <w:spacing w:before="8"/>
        <w:rPr>
          <w:sz w:val="31"/>
        </w:rPr>
      </w:pPr>
    </w:p>
    <w:p>
      <w:pPr>
        <w:pStyle w:val="BodyText"/>
        <w:spacing w:line="312" w:lineRule="auto"/>
        <w:ind w:left="177" w:right="191"/>
      </w:pPr>
      <w:r>
        <w:rPr/>
        <w:t>The magnitude F of an action may often be described by two different types of variables so that</w:t>
      </w:r>
    </w:p>
    <w:p>
      <w:pPr>
        <w:pStyle w:val="BodyText"/>
        <w:spacing w:before="5"/>
        <w:rPr>
          <w:sz w:val="31"/>
        </w:rPr>
      </w:pPr>
    </w:p>
    <w:p>
      <w:pPr>
        <w:pStyle w:val="BodyText"/>
        <w:tabs>
          <w:tab w:pos="7978" w:val="left" w:leader="none"/>
        </w:tabs>
        <w:ind w:left="886"/>
      </w:pPr>
      <w:r>
        <w:rPr/>
        <w:t>F = </w:t>
      </w:r>
      <w:r>
        <w:rPr>
          <w:rFonts w:ascii="Arial" w:hAnsi="Arial" w:cs="Arial" w:eastAsia="Arial"/>
        </w:rPr>
        <w:t>ϕ</w:t>
      </w:r>
      <w:r>
        <w:rPr>
          <w:rFonts w:ascii="Arial" w:hAnsi="Arial" w:cs="Arial" w:eastAsia="Arial"/>
          <w:spacing w:val="-6"/>
        </w:rPr>
        <w:t> </w:t>
      </w:r>
      <w:r>
        <w:rPr/>
        <w:t>(F</w:t>
      </w:r>
      <w:r>
        <w:rPr>
          <w:position w:val="-5"/>
          <w:sz w:val="18"/>
          <w:szCs w:val="18"/>
        </w:rPr>
        <w:t>o</w:t>
      </w:r>
      <w:r>
        <w:rPr/>
        <w:t>, W)</w:t>
        <w:tab/>
        <w:t>(4)</w:t>
      </w:r>
    </w:p>
    <w:p>
      <w:pPr>
        <w:pStyle w:val="BodyText"/>
        <w:spacing w:before="5"/>
        <w:rPr>
          <w:sz w:val="34"/>
        </w:rPr>
      </w:pPr>
    </w:p>
    <w:p>
      <w:pPr>
        <w:pStyle w:val="BodyText"/>
        <w:tabs>
          <w:tab w:pos="1595" w:val="left" w:leader="none"/>
        </w:tabs>
        <w:ind w:left="177"/>
      </w:pPr>
      <w:r>
        <w:rPr/>
        <w:t>where </w:t>
      </w:r>
      <w:r>
        <w:rPr>
          <w:spacing w:val="5"/>
        </w:rPr>
        <w:t> </w:t>
      </w:r>
      <w:r>
        <w:rPr>
          <w:rFonts w:ascii="Arial" w:hAnsi="Arial" w:cs="Arial" w:eastAsia="Arial"/>
        </w:rPr>
        <w:t>ϕ</w:t>
        <w:tab/>
      </w:r>
      <w:r>
        <w:rPr/>
        <w:t>is an appropriate function and</w:t>
      </w:r>
    </w:p>
    <w:p>
      <w:pPr>
        <w:pStyle w:val="BodyText"/>
        <w:tabs>
          <w:tab w:pos="1595" w:val="left" w:leader="none"/>
        </w:tabs>
        <w:spacing w:line="271" w:lineRule="auto" w:before="84"/>
        <w:ind w:left="1595" w:right="758" w:hanging="710"/>
      </w:pPr>
      <w:r>
        <w:rPr/>
        <w:t>F</w:t>
      </w:r>
      <w:r>
        <w:rPr>
          <w:position w:val="-5"/>
          <w:sz w:val="18"/>
        </w:rPr>
        <w:t>o</w:t>
        <w:tab/>
      </w:r>
      <w:r>
        <w:rPr/>
        <w:t>is a basic action variable, often with time and space dependent variations (random or non-random) and is generally independent of the</w:t>
      </w:r>
      <w:r>
        <w:rPr>
          <w:spacing w:val="-4"/>
        </w:rPr>
        <w:t> </w:t>
      </w:r>
      <w:r>
        <w:rPr/>
        <w:t>structure</w:t>
      </w:r>
    </w:p>
    <w:p>
      <w:pPr>
        <w:pStyle w:val="BodyText"/>
        <w:tabs>
          <w:tab w:pos="1595" w:val="left" w:leader="none"/>
        </w:tabs>
        <w:spacing w:line="312" w:lineRule="auto" w:before="50"/>
        <w:ind w:left="177" w:right="191" w:firstLine="709"/>
      </w:pPr>
      <w:r>
        <w:rPr/>
        <w:t>W</w:t>
        <w:tab/>
        <w:t>is a random or non-random variable or a random field which may depend on the</w:t>
        <w:tab/>
        <w:t>structural properties and which transformes F</w:t>
      </w:r>
      <w:r>
        <w:rPr>
          <w:vertAlign w:val="subscript"/>
        </w:rPr>
        <w:t>o</w:t>
      </w:r>
      <w:r>
        <w:rPr>
          <w:vertAlign w:val="baseline"/>
        </w:rPr>
        <w:t> to</w:t>
      </w:r>
      <w:r>
        <w:rPr>
          <w:spacing w:val="-21"/>
          <w:vertAlign w:val="baseline"/>
        </w:rPr>
        <w:t> </w:t>
      </w:r>
      <w:r>
        <w:rPr>
          <w:vertAlign w:val="baseline"/>
        </w:rPr>
        <w:t>F.</w:t>
      </w:r>
    </w:p>
    <w:p>
      <w:pPr>
        <w:pStyle w:val="BodyText"/>
        <w:spacing w:before="5"/>
        <w:rPr>
          <w:sz w:val="31"/>
        </w:rPr>
      </w:pPr>
    </w:p>
    <w:p>
      <w:pPr>
        <w:pStyle w:val="BodyText"/>
        <w:spacing w:line="271" w:lineRule="auto" w:before="1"/>
        <w:ind w:left="177"/>
      </w:pPr>
      <w:r>
        <w:rPr/>
        <w:t>Eq. (4) should be regarded as a symbolic expression where F</w:t>
      </w:r>
      <w:r>
        <w:rPr>
          <w:position w:val="-5"/>
          <w:sz w:val="18"/>
        </w:rPr>
        <w:t>o </w:t>
      </w:r>
      <w:r>
        <w:rPr/>
        <w:t>and W may represent several variables.</w:t>
      </w:r>
    </w:p>
    <w:p>
      <w:pPr>
        <w:pStyle w:val="BodyText"/>
        <w:spacing w:before="6"/>
        <w:rPr>
          <w:sz w:val="35"/>
        </w:rPr>
      </w:pPr>
    </w:p>
    <w:p>
      <w:pPr>
        <w:pStyle w:val="BodyText"/>
        <w:spacing w:line="292" w:lineRule="auto"/>
        <w:ind w:left="177" w:right="109"/>
        <w:jc w:val="both"/>
      </w:pPr>
      <w:r>
        <w:rPr/>
        <w:t>One example may be snow load where F</w:t>
      </w:r>
      <w:r>
        <w:rPr>
          <w:position w:val="-5"/>
          <w:sz w:val="18"/>
        </w:rPr>
        <w:t>o </w:t>
      </w:r>
      <w:r>
        <w:rPr/>
        <w:t>is the time dependent snow load on ground and W is the conversion factor for snow load on ground to snow load on roof which normally is assumed to to be time</w:t>
      </w:r>
      <w:r>
        <w:rPr>
          <w:spacing w:val="-1"/>
        </w:rPr>
        <w:t> </w:t>
      </w:r>
      <w:r>
        <w:rPr/>
        <w:t>independent.</w:t>
      </w:r>
    </w:p>
    <w:p>
      <w:pPr>
        <w:spacing w:after="0" w:line="292" w:lineRule="auto"/>
        <w:jc w:val="both"/>
        <w:sectPr>
          <w:pgSz w:w="11910" w:h="16840"/>
          <w:pgMar w:header="0" w:footer="788" w:top="1460" w:bottom="980" w:left="1240" w:right="1300"/>
        </w:sectPr>
      </w:pPr>
    </w:p>
    <w:p>
      <w:pPr>
        <w:pStyle w:val="BodyText"/>
        <w:spacing w:line="312" w:lineRule="auto" w:before="62"/>
        <w:ind w:left="177" w:right="112"/>
        <w:jc w:val="both"/>
      </w:pPr>
      <w:r>
        <w:rPr/>
        <w:t>Further information on action models is provided in part 2. It is noted that action models may include material properties (earthquake action depends for example on material damping).</w:t>
      </w:r>
    </w:p>
    <w:p>
      <w:pPr>
        <w:pStyle w:val="BodyText"/>
        <w:rPr>
          <w:sz w:val="26"/>
        </w:rPr>
      </w:pPr>
    </w:p>
    <w:p>
      <w:pPr>
        <w:pStyle w:val="Heading2"/>
        <w:numPr>
          <w:ilvl w:val="1"/>
          <w:numId w:val="2"/>
        </w:numPr>
        <w:tabs>
          <w:tab w:pos="1085" w:val="left" w:leader="none"/>
        </w:tabs>
        <w:spacing w:line="240" w:lineRule="auto" w:before="186" w:after="0"/>
        <w:ind w:left="1084" w:right="0" w:hanging="907"/>
        <w:jc w:val="both"/>
      </w:pPr>
      <w:bookmarkStart w:name="_TOC_250032" w:id="18"/>
      <w:bookmarkEnd w:id="18"/>
      <w:r>
        <w:rPr/>
        <w:t>Geometrical models</w:t>
      </w:r>
    </w:p>
    <w:p>
      <w:pPr>
        <w:pStyle w:val="BodyText"/>
        <w:spacing w:line="312" w:lineRule="auto" w:before="201"/>
        <w:ind w:left="177" w:right="110"/>
        <w:jc w:val="both"/>
      </w:pPr>
      <w:r>
        <w:rPr/>
        <w:t>A structure can generally be described by a model consisting of one-dimensional elements (beams, columns, cables, arches, etc), two-dimensional elements (slabs, walls, shells, etc) and three-dimensional elements.</w:t>
      </w:r>
    </w:p>
    <w:p>
      <w:pPr>
        <w:pStyle w:val="BodyText"/>
        <w:spacing w:before="7"/>
        <w:rPr>
          <w:sz w:val="31"/>
        </w:rPr>
      </w:pPr>
    </w:p>
    <w:p>
      <w:pPr>
        <w:pStyle w:val="BodyText"/>
        <w:ind w:left="177"/>
        <w:jc w:val="both"/>
      </w:pPr>
      <w:r>
        <w:rPr/>
        <w:t>The geometrical quantities which are included in the model generally refer to nominal</w:t>
      </w:r>
      <w:r>
        <w:rPr>
          <w:spacing w:val="58"/>
        </w:rPr>
        <w:t> </w:t>
      </w:r>
      <w:r>
        <w:rPr/>
        <w:t>values,</w:t>
      </w:r>
    </w:p>
    <w:p>
      <w:pPr>
        <w:pStyle w:val="BodyText"/>
        <w:spacing w:line="312" w:lineRule="auto" w:before="84"/>
        <w:ind w:left="177" w:right="112"/>
        <w:jc w:val="both"/>
      </w:pPr>
      <w:r>
        <w:rPr/>
        <w:t>i.e. the values given in drawings, descriptions etc. Normally, the geometrical quantities of a real structure differ from their nominal values, i.e. the structure has geometrical  imperfections. If the structural behaviour is sensitive to such imperfections, these shall be inlcuded in the</w:t>
      </w:r>
      <w:r>
        <w:rPr>
          <w:spacing w:val="-1"/>
        </w:rPr>
        <w:t> </w:t>
      </w:r>
      <w:r>
        <w:rPr/>
        <w:t>model.</w:t>
      </w:r>
    </w:p>
    <w:p>
      <w:pPr>
        <w:pStyle w:val="BodyText"/>
        <w:spacing w:before="9"/>
        <w:rPr>
          <w:sz w:val="31"/>
        </w:rPr>
      </w:pPr>
    </w:p>
    <w:p>
      <w:pPr>
        <w:pStyle w:val="BodyText"/>
        <w:spacing w:line="312" w:lineRule="auto"/>
        <w:ind w:left="177" w:right="112"/>
        <w:jc w:val="both"/>
      </w:pPr>
      <w:r>
        <w:rPr/>
        <w:t>In many cases the deformation of a structure causes significant deviations from nominal values of geometrical quantities. If such deformations are of importance for the structural behaviour, they have to be considered in the design in principally the same way as imperfections. The effects of such deformations are generally denoted </w:t>
      </w:r>
      <w:r>
        <w:rPr>
          <w:i/>
        </w:rPr>
        <w:t>geometrically nonlinear </w:t>
      </w:r>
      <w:r>
        <w:rPr/>
        <w:t>or </w:t>
      </w:r>
      <w:r>
        <w:rPr>
          <w:i/>
        </w:rPr>
        <w:t>second order effects </w:t>
      </w:r>
      <w:r>
        <w:rPr/>
        <w:t>and should be accounted</w:t>
      </w:r>
      <w:r>
        <w:rPr>
          <w:spacing w:val="-1"/>
        </w:rPr>
        <w:t> </w:t>
      </w:r>
      <w:r>
        <w:rPr/>
        <w:t>for.</w:t>
      </w:r>
    </w:p>
    <w:p>
      <w:pPr>
        <w:pStyle w:val="BodyText"/>
        <w:rPr>
          <w:sz w:val="26"/>
        </w:rPr>
      </w:pPr>
    </w:p>
    <w:p>
      <w:pPr>
        <w:pStyle w:val="Heading2"/>
        <w:numPr>
          <w:ilvl w:val="1"/>
          <w:numId w:val="2"/>
        </w:numPr>
        <w:tabs>
          <w:tab w:pos="1085" w:val="left" w:leader="none"/>
        </w:tabs>
        <w:spacing w:line="240" w:lineRule="auto" w:before="189" w:after="0"/>
        <w:ind w:left="1084" w:right="0" w:hanging="907"/>
        <w:jc w:val="both"/>
      </w:pPr>
      <w:bookmarkStart w:name="_TOC_250031" w:id="19"/>
      <w:bookmarkEnd w:id="19"/>
      <w:r>
        <w:rPr/>
        <w:t>Material models</w:t>
      </w:r>
    </w:p>
    <w:p>
      <w:pPr>
        <w:pStyle w:val="BodyText"/>
        <w:spacing w:line="312" w:lineRule="auto" w:before="202"/>
        <w:ind w:left="177" w:right="111"/>
        <w:jc w:val="both"/>
      </w:pPr>
      <w:r>
        <w:rPr/>
        <w:t>When strength or stiffness is considered the material model normally consists of relations between forces or stresses and deformations i.e </w:t>
      </w:r>
      <w:r>
        <w:rPr>
          <w:i/>
        </w:rPr>
        <w:t>costitutive relationships</w:t>
      </w:r>
      <w:r>
        <w:rPr/>
        <w:t>. The parameters of such relations are modulus of elasticity, yield limit, ultimate strength etc. which generally are considered as random variables, Sometimes they are time dependent or space dependent. There is often an correlation between the parameters e.g. the modulus of elasticity and the ultimate strength of concrete.</w:t>
      </w:r>
    </w:p>
    <w:p>
      <w:pPr>
        <w:pStyle w:val="BodyText"/>
        <w:spacing w:before="11"/>
        <w:rPr>
          <w:sz w:val="31"/>
        </w:rPr>
      </w:pPr>
    </w:p>
    <w:p>
      <w:pPr>
        <w:pStyle w:val="BodyText"/>
        <w:spacing w:line="312" w:lineRule="auto"/>
        <w:ind w:left="177" w:right="111"/>
        <w:jc w:val="both"/>
      </w:pPr>
      <w:r>
        <w:rPr/>
        <w:t>Other material properties, e.g. resistance against material deterioration may often be treated in a similar way. However the principles are strongly dependent on type of material and the property considered.</w:t>
      </w:r>
    </w:p>
    <w:p>
      <w:pPr>
        <w:pStyle w:val="BodyText"/>
        <w:spacing w:before="7"/>
        <w:rPr>
          <w:sz w:val="31"/>
        </w:rPr>
      </w:pPr>
    </w:p>
    <w:p>
      <w:pPr>
        <w:pStyle w:val="BodyText"/>
        <w:ind w:left="177"/>
        <w:jc w:val="both"/>
      </w:pPr>
      <w:r>
        <w:rPr/>
        <w:t>Further information related to models of several material types is given in part 3.</w:t>
      </w:r>
    </w:p>
    <w:p>
      <w:pPr>
        <w:spacing w:after="0"/>
        <w:jc w:val="both"/>
        <w:sectPr>
          <w:pgSz w:w="11910" w:h="16840"/>
          <w:pgMar w:header="0" w:footer="788" w:top="1460" w:bottom="980" w:left="1240" w:right="1300"/>
        </w:sectPr>
      </w:pPr>
    </w:p>
    <w:p>
      <w:pPr>
        <w:pStyle w:val="Heading2"/>
        <w:numPr>
          <w:ilvl w:val="1"/>
          <w:numId w:val="2"/>
        </w:numPr>
        <w:tabs>
          <w:tab w:pos="1085" w:val="left" w:leader="none"/>
        </w:tabs>
        <w:spacing w:line="240" w:lineRule="auto" w:before="64" w:after="0"/>
        <w:ind w:left="1084" w:right="0" w:hanging="907"/>
        <w:jc w:val="both"/>
      </w:pPr>
      <w:bookmarkStart w:name="_TOC_250030" w:id="20"/>
      <w:bookmarkEnd w:id="20"/>
      <w:r>
        <w:rPr/>
        <w:t>Mechanical models</w:t>
      </w:r>
    </w:p>
    <w:p>
      <w:pPr>
        <w:pStyle w:val="BodyText"/>
        <w:rPr>
          <w:b/>
          <w:sz w:val="26"/>
        </w:rPr>
      </w:pPr>
    </w:p>
    <w:p>
      <w:pPr>
        <w:pStyle w:val="BodyText"/>
        <w:spacing w:before="10"/>
        <w:rPr>
          <w:b/>
          <w:sz w:val="22"/>
        </w:rPr>
      </w:pPr>
    </w:p>
    <w:p>
      <w:pPr>
        <w:pStyle w:val="BodyText"/>
        <w:ind w:left="177"/>
        <w:jc w:val="both"/>
      </w:pPr>
      <w:r>
        <w:rPr/>
        <w:t>The following mechanical models may be classified</w:t>
      </w:r>
    </w:p>
    <w:p>
      <w:pPr>
        <w:pStyle w:val="ListParagraph"/>
        <w:numPr>
          <w:ilvl w:val="2"/>
          <w:numId w:val="2"/>
        </w:numPr>
        <w:tabs>
          <w:tab w:pos="898" w:val="left" w:leader="none"/>
        </w:tabs>
        <w:spacing w:line="240" w:lineRule="auto" w:before="84" w:after="0"/>
        <w:ind w:left="897" w:right="0" w:hanging="360"/>
        <w:jc w:val="left"/>
        <w:rPr>
          <w:sz w:val="24"/>
        </w:rPr>
      </w:pPr>
      <w:r>
        <w:rPr>
          <w:sz w:val="24"/>
        </w:rPr>
        <w:t>models describing static</w:t>
      </w:r>
      <w:r>
        <w:rPr>
          <w:spacing w:val="-1"/>
          <w:sz w:val="24"/>
        </w:rPr>
        <w:t> </w:t>
      </w:r>
      <w:r>
        <w:rPr>
          <w:sz w:val="24"/>
        </w:rPr>
        <w:t>response</w:t>
      </w:r>
    </w:p>
    <w:p>
      <w:pPr>
        <w:pStyle w:val="ListParagraph"/>
        <w:numPr>
          <w:ilvl w:val="2"/>
          <w:numId w:val="2"/>
        </w:numPr>
        <w:tabs>
          <w:tab w:pos="898" w:val="left" w:leader="none"/>
        </w:tabs>
        <w:spacing w:line="240" w:lineRule="auto" w:before="84" w:after="0"/>
        <w:ind w:left="897" w:right="0" w:hanging="360"/>
        <w:jc w:val="left"/>
        <w:rPr>
          <w:sz w:val="24"/>
        </w:rPr>
      </w:pPr>
      <w:r>
        <w:rPr>
          <w:sz w:val="24"/>
        </w:rPr>
        <w:t>models decribing dynamic</w:t>
      </w:r>
      <w:r>
        <w:rPr>
          <w:spacing w:val="-1"/>
          <w:sz w:val="24"/>
        </w:rPr>
        <w:t> </w:t>
      </w:r>
      <w:r>
        <w:rPr>
          <w:sz w:val="24"/>
        </w:rPr>
        <w:t>response</w:t>
      </w:r>
    </w:p>
    <w:p>
      <w:pPr>
        <w:pStyle w:val="ListParagraph"/>
        <w:numPr>
          <w:ilvl w:val="2"/>
          <w:numId w:val="2"/>
        </w:numPr>
        <w:tabs>
          <w:tab w:pos="898" w:val="left" w:leader="none"/>
        </w:tabs>
        <w:spacing w:line="240" w:lineRule="auto" w:before="84" w:after="0"/>
        <w:ind w:left="897" w:right="0" w:hanging="360"/>
        <w:jc w:val="left"/>
        <w:rPr>
          <w:sz w:val="24"/>
        </w:rPr>
      </w:pPr>
      <w:r>
        <w:rPr>
          <w:sz w:val="24"/>
        </w:rPr>
        <w:t>models for</w:t>
      </w:r>
      <w:r>
        <w:rPr>
          <w:spacing w:val="-1"/>
          <w:sz w:val="24"/>
        </w:rPr>
        <w:t> </w:t>
      </w:r>
      <w:r>
        <w:rPr>
          <w:sz w:val="24"/>
        </w:rPr>
        <w:t>fatigue</w:t>
      </w:r>
    </w:p>
    <w:p>
      <w:pPr>
        <w:pStyle w:val="BodyText"/>
        <w:spacing w:before="8"/>
        <w:rPr>
          <w:sz w:val="38"/>
        </w:rPr>
      </w:pPr>
    </w:p>
    <w:p>
      <w:pPr>
        <w:pStyle w:val="ListParagraph"/>
        <w:numPr>
          <w:ilvl w:val="0"/>
          <w:numId w:val="6"/>
        </w:numPr>
        <w:tabs>
          <w:tab w:pos="898" w:val="left" w:leader="none"/>
        </w:tabs>
        <w:spacing w:line="240" w:lineRule="auto" w:before="0" w:after="0"/>
        <w:ind w:left="897" w:right="0" w:hanging="360"/>
        <w:jc w:val="left"/>
        <w:rPr>
          <w:i/>
          <w:sz w:val="24"/>
        </w:rPr>
      </w:pPr>
      <w:r>
        <w:rPr>
          <w:i/>
          <w:sz w:val="24"/>
        </w:rPr>
        <w:t>models describing static response</w:t>
      </w:r>
    </w:p>
    <w:p>
      <w:pPr>
        <w:pStyle w:val="BodyText"/>
        <w:spacing w:before="6"/>
        <w:rPr>
          <w:i/>
          <w:sz w:val="38"/>
        </w:rPr>
      </w:pPr>
    </w:p>
    <w:p>
      <w:pPr>
        <w:pStyle w:val="BodyText"/>
        <w:spacing w:line="312" w:lineRule="auto"/>
        <w:ind w:left="177" w:right="111"/>
        <w:jc w:val="both"/>
      </w:pPr>
      <w:r>
        <w:rPr/>
        <w:t>In almost all design calculations some assumptions concerning the relation between forces or moments and deformations (or deformation rates) are necessary. These assumptions can vary and depend on the purpose and type of calculation. The most general relationship regarding structural response is considered to be elastic) developing into plastic behaviour in certain parts of the structure at high action effects. In other parts of the structure intermediate stages occur. Such relationships may be used generally. However the use of any theory taking into account in-elastic or post-critical behaviour may have to take into account repetitions of variable actions that are free. Such actions may cause great variations of the action effects, repeated yielding and exhaustion of the deformation capacity.</w:t>
      </w:r>
    </w:p>
    <w:p>
      <w:pPr>
        <w:pStyle w:val="BodyText"/>
        <w:spacing w:before="3"/>
        <w:rPr>
          <w:sz w:val="32"/>
        </w:rPr>
      </w:pPr>
    </w:p>
    <w:p>
      <w:pPr>
        <w:pStyle w:val="BodyText"/>
        <w:spacing w:line="312" w:lineRule="auto"/>
        <w:ind w:left="177" w:right="112"/>
        <w:jc w:val="both"/>
      </w:pPr>
      <w:r>
        <w:rPr/>
        <w:t>The theory of elasticity may be regarded as a simplification of a more general theory and may generally be used provided that forces and moments are limited to those values, for which the behaviour of the structure is still considered as elastic. However, the theory of elasticity may also be used in other cases if it is applied as a conservative approximation.</w:t>
      </w:r>
    </w:p>
    <w:p>
      <w:pPr>
        <w:pStyle w:val="BodyText"/>
        <w:spacing w:before="8"/>
        <w:rPr>
          <w:sz w:val="31"/>
        </w:rPr>
      </w:pPr>
    </w:p>
    <w:p>
      <w:pPr>
        <w:pStyle w:val="BodyText"/>
        <w:spacing w:line="312" w:lineRule="auto"/>
        <w:ind w:left="177" w:right="111"/>
        <w:jc w:val="both"/>
      </w:pPr>
      <w:r>
        <w:rPr/>
        <w:t>Theories in which fully developed plasticity is assumed to occur in certain zones of the structure (plastic hinges in beams, yield lines in slabs, etc) may also be used, provided that the deformations which are needed to ensure plastic behaviour, occur before the ultimate limit state is reached. Thus theory of plasticity should be used with care to determine the load carrying capacity of a structure, if this capacity is limited by:</w:t>
      </w:r>
    </w:p>
    <w:p>
      <w:pPr>
        <w:pStyle w:val="BodyText"/>
        <w:spacing w:before="10"/>
        <w:rPr>
          <w:sz w:val="31"/>
        </w:rPr>
      </w:pPr>
    </w:p>
    <w:p>
      <w:pPr>
        <w:pStyle w:val="ListParagraph"/>
        <w:numPr>
          <w:ilvl w:val="0"/>
          <w:numId w:val="3"/>
        </w:numPr>
        <w:tabs>
          <w:tab w:pos="887" w:val="left" w:leader="none"/>
        </w:tabs>
        <w:spacing w:line="240" w:lineRule="auto" w:before="0" w:after="0"/>
        <w:ind w:left="886" w:right="0" w:hanging="709"/>
        <w:jc w:val="both"/>
        <w:rPr>
          <w:sz w:val="24"/>
        </w:rPr>
      </w:pPr>
      <w:r>
        <w:rPr>
          <w:sz w:val="24"/>
        </w:rPr>
        <w:t>brittle</w:t>
      </w:r>
      <w:r>
        <w:rPr>
          <w:spacing w:val="-1"/>
          <w:sz w:val="24"/>
        </w:rPr>
        <w:t> </w:t>
      </w:r>
      <w:r>
        <w:rPr>
          <w:sz w:val="24"/>
        </w:rPr>
        <w:t>failure</w:t>
      </w:r>
    </w:p>
    <w:p>
      <w:pPr>
        <w:pStyle w:val="ListParagraph"/>
        <w:numPr>
          <w:ilvl w:val="0"/>
          <w:numId w:val="3"/>
        </w:numPr>
        <w:tabs>
          <w:tab w:pos="887" w:val="left" w:leader="none"/>
        </w:tabs>
        <w:spacing w:line="240" w:lineRule="auto" w:before="84" w:after="0"/>
        <w:ind w:left="886" w:right="0" w:hanging="709"/>
        <w:jc w:val="both"/>
        <w:rPr>
          <w:sz w:val="24"/>
        </w:rPr>
      </w:pPr>
      <w:r>
        <w:rPr>
          <w:sz w:val="24"/>
        </w:rPr>
        <w:t>failure due to</w:t>
      </w:r>
      <w:r>
        <w:rPr>
          <w:spacing w:val="-1"/>
          <w:sz w:val="24"/>
        </w:rPr>
        <w:t> </w:t>
      </w:r>
      <w:r>
        <w:rPr>
          <w:sz w:val="24"/>
        </w:rPr>
        <w:t>instability</w:t>
      </w:r>
    </w:p>
    <w:p>
      <w:pPr>
        <w:pStyle w:val="BodyText"/>
        <w:spacing w:before="8"/>
        <w:rPr>
          <w:sz w:val="38"/>
        </w:rPr>
      </w:pPr>
    </w:p>
    <w:p>
      <w:pPr>
        <w:pStyle w:val="ListParagraph"/>
        <w:numPr>
          <w:ilvl w:val="0"/>
          <w:numId w:val="6"/>
        </w:numPr>
        <w:tabs>
          <w:tab w:pos="898" w:val="left" w:leader="none"/>
        </w:tabs>
        <w:spacing w:line="240" w:lineRule="auto" w:before="0" w:after="0"/>
        <w:ind w:left="897" w:right="0" w:hanging="360"/>
        <w:jc w:val="left"/>
        <w:rPr>
          <w:i/>
          <w:sz w:val="24"/>
        </w:rPr>
      </w:pPr>
      <w:r>
        <w:rPr>
          <w:i/>
          <w:sz w:val="24"/>
        </w:rPr>
        <w:t>models for dynamic response</w:t>
      </w:r>
    </w:p>
    <w:p>
      <w:pPr>
        <w:pStyle w:val="BodyText"/>
        <w:spacing w:before="6"/>
        <w:rPr>
          <w:i/>
          <w:sz w:val="38"/>
        </w:rPr>
      </w:pPr>
    </w:p>
    <w:p>
      <w:pPr>
        <w:pStyle w:val="BodyText"/>
        <w:spacing w:line="312" w:lineRule="auto"/>
        <w:ind w:left="177" w:right="111"/>
        <w:jc w:val="both"/>
      </w:pPr>
      <w:r>
        <w:rPr/>
        <w:t>In most cases dynamic response of a structure is caused by a rapid variation of the magnitude, position or direction of an action However, a sudden change of the stiffness or resistance of a structural element may also cause dynamic behaviour.</w:t>
      </w:r>
    </w:p>
    <w:p>
      <w:pPr>
        <w:spacing w:after="0" w:line="312" w:lineRule="auto"/>
        <w:jc w:val="both"/>
        <w:sectPr>
          <w:pgSz w:w="11910" w:h="16840"/>
          <w:pgMar w:header="0" w:footer="788" w:top="1460" w:bottom="980" w:left="1240" w:right="1300"/>
        </w:sectPr>
      </w:pPr>
    </w:p>
    <w:p>
      <w:pPr>
        <w:pStyle w:val="BodyText"/>
        <w:spacing w:before="8"/>
        <w:rPr>
          <w:sz w:val="16"/>
        </w:rPr>
      </w:pPr>
    </w:p>
    <w:p>
      <w:pPr>
        <w:pStyle w:val="BodyText"/>
        <w:spacing w:before="90"/>
        <w:ind w:left="177"/>
      </w:pPr>
      <w:r>
        <w:rPr/>
        <w:t>The models for dynamic response consist in general of:</w:t>
      </w:r>
    </w:p>
    <w:p>
      <w:pPr>
        <w:pStyle w:val="BodyText"/>
        <w:spacing w:before="5"/>
        <w:rPr>
          <w:sz w:val="38"/>
        </w:rPr>
      </w:pPr>
    </w:p>
    <w:p>
      <w:pPr>
        <w:pStyle w:val="ListParagraph"/>
        <w:numPr>
          <w:ilvl w:val="1"/>
          <w:numId w:val="3"/>
        </w:numPr>
        <w:tabs>
          <w:tab w:pos="897" w:val="left" w:leader="none"/>
          <w:tab w:pos="898" w:val="left" w:leader="none"/>
        </w:tabs>
        <w:spacing w:line="240" w:lineRule="auto" w:before="1" w:after="0"/>
        <w:ind w:left="897" w:right="0" w:hanging="360"/>
        <w:jc w:val="left"/>
        <w:rPr>
          <w:sz w:val="24"/>
        </w:rPr>
      </w:pPr>
      <w:r>
        <w:rPr>
          <w:sz w:val="24"/>
        </w:rPr>
        <w:t>a stiffness</w:t>
      </w:r>
      <w:r>
        <w:rPr>
          <w:spacing w:val="-2"/>
          <w:sz w:val="24"/>
        </w:rPr>
        <w:t> </w:t>
      </w:r>
      <w:r>
        <w:rPr>
          <w:sz w:val="24"/>
        </w:rPr>
        <w:t>model</w:t>
      </w:r>
    </w:p>
    <w:p>
      <w:pPr>
        <w:pStyle w:val="ListParagraph"/>
        <w:numPr>
          <w:ilvl w:val="1"/>
          <w:numId w:val="3"/>
        </w:numPr>
        <w:tabs>
          <w:tab w:pos="897" w:val="left" w:leader="none"/>
          <w:tab w:pos="898" w:val="left" w:leader="none"/>
        </w:tabs>
        <w:spacing w:line="240" w:lineRule="auto" w:before="83" w:after="0"/>
        <w:ind w:left="897" w:right="0" w:hanging="360"/>
        <w:jc w:val="left"/>
        <w:rPr>
          <w:sz w:val="24"/>
        </w:rPr>
      </w:pPr>
      <w:r>
        <w:rPr>
          <w:sz w:val="24"/>
        </w:rPr>
        <w:t>a damping</w:t>
      </w:r>
      <w:r>
        <w:rPr>
          <w:spacing w:val="-4"/>
          <w:sz w:val="24"/>
        </w:rPr>
        <w:t> </w:t>
      </w:r>
      <w:r>
        <w:rPr>
          <w:sz w:val="24"/>
        </w:rPr>
        <w:t>model</w:t>
      </w:r>
    </w:p>
    <w:p>
      <w:pPr>
        <w:pStyle w:val="ListParagraph"/>
        <w:numPr>
          <w:ilvl w:val="1"/>
          <w:numId w:val="3"/>
        </w:numPr>
        <w:tabs>
          <w:tab w:pos="897" w:val="left" w:leader="none"/>
          <w:tab w:pos="898" w:val="left" w:leader="none"/>
        </w:tabs>
        <w:spacing w:line="240" w:lineRule="auto" w:before="83" w:after="0"/>
        <w:ind w:left="897" w:right="0" w:hanging="360"/>
        <w:jc w:val="left"/>
        <w:rPr>
          <w:sz w:val="24"/>
        </w:rPr>
      </w:pPr>
      <w:r>
        <w:rPr>
          <w:sz w:val="24"/>
        </w:rPr>
        <w:t>an inertia</w:t>
      </w:r>
      <w:r>
        <w:rPr>
          <w:spacing w:val="-1"/>
          <w:sz w:val="24"/>
        </w:rPr>
        <w:t> </w:t>
      </w:r>
      <w:r>
        <w:rPr>
          <w:sz w:val="24"/>
        </w:rPr>
        <w:t>model</w:t>
      </w:r>
    </w:p>
    <w:p>
      <w:pPr>
        <w:pStyle w:val="BodyText"/>
        <w:spacing w:before="8"/>
        <w:rPr>
          <w:sz w:val="38"/>
        </w:rPr>
      </w:pPr>
    </w:p>
    <w:p>
      <w:pPr>
        <w:pStyle w:val="ListParagraph"/>
        <w:numPr>
          <w:ilvl w:val="0"/>
          <w:numId w:val="6"/>
        </w:numPr>
        <w:tabs>
          <w:tab w:pos="898" w:val="left" w:leader="none"/>
        </w:tabs>
        <w:spacing w:line="240" w:lineRule="auto" w:before="0" w:after="0"/>
        <w:ind w:left="897" w:right="0" w:hanging="360"/>
        <w:jc w:val="left"/>
        <w:rPr>
          <w:i/>
          <w:sz w:val="24"/>
        </w:rPr>
      </w:pPr>
      <w:r>
        <w:rPr>
          <w:i/>
          <w:sz w:val="24"/>
        </w:rPr>
        <w:t>models for fatigue</w:t>
      </w:r>
    </w:p>
    <w:p>
      <w:pPr>
        <w:pStyle w:val="BodyText"/>
        <w:spacing w:before="6"/>
        <w:rPr>
          <w:i/>
          <w:sz w:val="38"/>
        </w:rPr>
      </w:pPr>
    </w:p>
    <w:p>
      <w:pPr>
        <w:pStyle w:val="BodyText"/>
        <w:spacing w:line="312" w:lineRule="auto"/>
        <w:ind w:left="177"/>
      </w:pPr>
      <w:r>
        <w:rPr/>
        <w:t>Fatigue models are used for the description of fatigue failures caused by fluctuating actions. Two types of models are distinguished:</w:t>
      </w:r>
    </w:p>
    <w:p>
      <w:pPr>
        <w:pStyle w:val="BodyText"/>
        <w:spacing w:before="6"/>
        <w:rPr>
          <w:sz w:val="31"/>
        </w:rPr>
      </w:pPr>
    </w:p>
    <w:p>
      <w:pPr>
        <w:pStyle w:val="ListParagraph"/>
        <w:numPr>
          <w:ilvl w:val="0"/>
          <w:numId w:val="7"/>
        </w:numPr>
        <w:tabs>
          <w:tab w:pos="898" w:val="left" w:leader="none"/>
        </w:tabs>
        <w:spacing w:line="240" w:lineRule="auto" w:before="0" w:after="0"/>
        <w:ind w:left="897" w:right="0" w:hanging="360"/>
        <w:jc w:val="left"/>
        <w:rPr>
          <w:sz w:val="24"/>
        </w:rPr>
      </w:pPr>
      <w:r>
        <w:rPr>
          <w:sz w:val="24"/>
        </w:rPr>
        <w:t>S-N model based on</w:t>
      </w:r>
      <w:r>
        <w:rPr>
          <w:spacing w:val="-1"/>
          <w:sz w:val="24"/>
        </w:rPr>
        <w:t> </w:t>
      </w:r>
      <w:r>
        <w:rPr>
          <w:sz w:val="24"/>
        </w:rPr>
        <w:t>experiments</w:t>
      </w:r>
    </w:p>
    <w:p>
      <w:pPr>
        <w:pStyle w:val="ListParagraph"/>
        <w:numPr>
          <w:ilvl w:val="0"/>
          <w:numId w:val="7"/>
        </w:numPr>
        <w:tabs>
          <w:tab w:pos="898" w:val="left" w:leader="none"/>
        </w:tabs>
        <w:spacing w:line="240" w:lineRule="auto" w:before="84" w:after="0"/>
        <w:ind w:left="897" w:right="0" w:hanging="360"/>
        <w:jc w:val="left"/>
        <w:rPr>
          <w:sz w:val="24"/>
        </w:rPr>
      </w:pPr>
      <w:r>
        <w:rPr>
          <w:sz w:val="24"/>
        </w:rPr>
        <w:t>fracture mechanics</w:t>
      </w:r>
      <w:r>
        <w:rPr>
          <w:spacing w:val="-1"/>
          <w:sz w:val="24"/>
        </w:rPr>
        <w:t> </w:t>
      </w:r>
      <w:r>
        <w:rPr>
          <w:sz w:val="24"/>
        </w:rPr>
        <w:t>model</w:t>
      </w:r>
    </w:p>
    <w:p>
      <w:pPr>
        <w:pStyle w:val="BodyText"/>
        <w:spacing w:before="7"/>
        <w:rPr>
          <w:sz w:val="38"/>
        </w:rPr>
      </w:pPr>
    </w:p>
    <w:p>
      <w:pPr>
        <w:pStyle w:val="BodyText"/>
        <w:spacing w:line="312" w:lineRule="auto"/>
        <w:ind w:left="177"/>
      </w:pPr>
      <w:r>
        <w:rPr/>
        <w:t>It is further noted here, that other types of degradation such as chemical attack or fire can modify the parameters entering the aforementioned models or the models themselves.</w:t>
      </w:r>
    </w:p>
    <w:p>
      <w:pPr>
        <w:pStyle w:val="BodyText"/>
        <w:rPr>
          <w:sz w:val="26"/>
        </w:rPr>
      </w:pPr>
    </w:p>
    <w:p>
      <w:pPr>
        <w:pStyle w:val="Heading2"/>
        <w:numPr>
          <w:ilvl w:val="1"/>
          <w:numId w:val="2"/>
        </w:numPr>
        <w:tabs>
          <w:tab w:pos="1084" w:val="left" w:leader="none"/>
          <w:tab w:pos="1085" w:val="left" w:leader="none"/>
        </w:tabs>
        <w:spacing w:line="240" w:lineRule="auto" w:before="186" w:after="0"/>
        <w:ind w:left="1084" w:right="0" w:hanging="907"/>
        <w:jc w:val="left"/>
      </w:pPr>
      <w:bookmarkStart w:name="_TOC_250029" w:id="21"/>
      <w:bookmarkEnd w:id="21"/>
      <w:r>
        <w:rPr/>
        <w:t>Model uncertainties</w:t>
      </w:r>
    </w:p>
    <w:p>
      <w:pPr>
        <w:pStyle w:val="BodyText"/>
        <w:spacing w:line="312" w:lineRule="auto" w:before="201"/>
        <w:ind w:left="177"/>
      </w:pPr>
      <w:r>
        <w:rPr/>
        <w:t>A calculation model is a physically based or empirical relation between relevant variables, which are in general random variables:</w:t>
      </w:r>
    </w:p>
    <w:p>
      <w:pPr>
        <w:pStyle w:val="BodyText"/>
        <w:spacing w:before="6"/>
        <w:rPr>
          <w:sz w:val="31"/>
        </w:rPr>
      </w:pPr>
    </w:p>
    <w:p>
      <w:pPr>
        <w:pStyle w:val="BodyText"/>
        <w:tabs>
          <w:tab w:pos="7978" w:val="left" w:leader="none"/>
        </w:tabs>
        <w:ind w:left="886"/>
      </w:pPr>
      <w:r>
        <w:rPr/>
        <w:t>Y = f (X</w:t>
      </w:r>
      <w:r>
        <w:rPr>
          <w:position w:val="-5"/>
          <w:sz w:val="18"/>
        </w:rPr>
        <w:t>1</w:t>
      </w:r>
      <w:r>
        <w:rPr/>
        <w:t>, X</w:t>
      </w:r>
      <w:r>
        <w:rPr>
          <w:position w:val="-5"/>
          <w:sz w:val="18"/>
        </w:rPr>
        <w:t>2</w:t>
      </w:r>
      <w:r>
        <w:rPr/>
        <w:t>,</w:t>
      </w:r>
      <w:r>
        <w:rPr>
          <w:spacing w:val="-6"/>
        </w:rPr>
        <w:t> </w:t>
      </w:r>
      <w:r>
        <w:rPr/>
        <w:t>...</w:t>
      </w:r>
      <w:r>
        <w:rPr>
          <w:spacing w:val="-1"/>
        </w:rPr>
        <w:t> </w:t>
      </w:r>
      <w:r>
        <w:rPr/>
        <w:t>X</w:t>
      </w:r>
      <w:r>
        <w:rPr>
          <w:position w:val="-5"/>
          <w:sz w:val="18"/>
        </w:rPr>
        <w:t>n</w:t>
      </w:r>
      <w:r>
        <w:rPr/>
        <w:t>)</w:t>
        <w:tab/>
        <w:t>(5)</w:t>
      </w:r>
    </w:p>
    <w:p>
      <w:pPr>
        <w:pStyle w:val="BodyText"/>
        <w:rPr>
          <w:sz w:val="20"/>
        </w:rPr>
      </w:pPr>
    </w:p>
    <w:p>
      <w:pPr>
        <w:pStyle w:val="BodyText"/>
        <w:spacing w:before="5"/>
        <w:rPr>
          <w:sz w:val="15"/>
        </w:rPr>
      </w:pPr>
    </w:p>
    <w:tbl>
      <w:tblPr>
        <w:tblW w:w="0" w:type="auto"/>
        <w:jc w:val="left"/>
        <w:tblInd w:w="8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85"/>
        <w:gridCol w:w="401"/>
        <w:gridCol w:w="1600"/>
      </w:tblGrid>
      <w:tr>
        <w:trPr>
          <w:trHeight w:val="312" w:hRule="atLeast"/>
        </w:trPr>
        <w:tc>
          <w:tcPr>
            <w:tcW w:w="585" w:type="dxa"/>
          </w:tcPr>
          <w:p>
            <w:pPr>
              <w:pStyle w:val="TableParagraph"/>
              <w:spacing w:line="266" w:lineRule="exact"/>
              <w:ind w:left="50"/>
              <w:jc w:val="left"/>
              <w:rPr>
                <w:sz w:val="24"/>
              </w:rPr>
            </w:pPr>
            <w:r>
              <w:rPr>
                <w:sz w:val="24"/>
              </w:rPr>
              <w:t>Y</w:t>
            </w:r>
          </w:p>
        </w:tc>
        <w:tc>
          <w:tcPr>
            <w:tcW w:w="401" w:type="dxa"/>
          </w:tcPr>
          <w:p>
            <w:pPr>
              <w:pStyle w:val="TableParagraph"/>
              <w:spacing w:line="266" w:lineRule="exact"/>
              <w:ind w:left="0" w:right="88"/>
              <w:jc w:val="right"/>
              <w:rPr>
                <w:sz w:val="24"/>
              </w:rPr>
            </w:pPr>
            <w:r>
              <w:rPr>
                <w:sz w:val="24"/>
              </w:rPr>
              <w:t>=</w:t>
            </w:r>
          </w:p>
        </w:tc>
        <w:tc>
          <w:tcPr>
            <w:tcW w:w="1600" w:type="dxa"/>
          </w:tcPr>
          <w:p>
            <w:pPr>
              <w:pStyle w:val="TableParagraph"/>
              <w:spacing w:line="266" w:lineRule="exact"/>
              <w:ind w:left="89"/>
              <w:jc w:val="left"/>
              <w:rPr>
                <w:sz w:val="24"/>
              </w:rPr>
            </w:pPr>
            <w:r>
              <w:rPr>
                <w:sz w:val="24"/>
              </w:rPr>
              <w:t>model output</w:t>
            </w:r>
          </w:p>
        </w:tc>
      </w:tr>
      <w:tr>
        <w:trPr>
          <w:trHeight w:val="360" w:hRule="atLeast"/>
        </w:trPr>
        <w:tc>
          <w:tcPr>
            <w:tcW w:w="585" w:type="dxa"/>
          </w:tcPr>
          <w:p>
            <w:pPr>
              <w:pStyle w:val="TableParagraph"/>
              <w:spacing w:before="37"/>
              <w:ind w:left="50"/>
              <w:jc w:val="left"/>
              <w:rPr>
                <w:sz w:val="24"/>
              </w:rPr>
            </w:pPr>
            <w:r>
              <w:rPr>
                <w:sz w:val="24"/>
              </w:rPr>
              <w:t>f ( )</w:t>
            </w:r>
          </w:p>
        </w:tc>
        <w:tc>
          <w:tcPr>
            <w:tcW w:w="401" w:type="dxa"/>
          </w:tcPr>
          <w:p>
            <w:pPr>
              <w:pStyle w:val="TableParagraph"/>
              <w:spacing w:before="37"/>
              <w:ind w:left="0" w:right="89"/>
              <w:jc w:val="right"/>
              <w:rPr>
                <w:sz w:val="24"/>
              </w:rPr>
            </w:pPr>
            <w:r>
              <w:rPr>
                <w:sz w:val="24"/>
              </w:rPr>
              <w:t>=</w:t>
            </w:r>
          </w:p>
        </w:tc>
        <w:tc>
          <w:tcPr>
            <w:tcW w:w="1600" w:type="dxa"/>
          </w:tcPr>
          <w:p>
            <w:pPr>
              <w:pStyle w:val="TableParagraph"/>
              <w:spacing w:before="37"/>
              <w:ind w:left="88"/>
              <w:jc w:val="left"/>
              <w:rPr>
                <w:sz w:val="24"/>
              </w:rPr>
            </w:pPr>
            <w:r>
              <w:rPr>
                <w:sz w:val="24"/>
              </w:rPr>
              <w:t>model function</w:t>
            </w:r>
          </w:p>
        </w:tc>
      </w:tr>
      <w:tr>
        <w:trPr>
          <w:trHeight w:val="359" w:hRule="atLeast"/>
        </w:trPr>
        <w:tc>
          <w:tcPr>
            <w:tcW w:w="585" w:type="dxa"/>
          </w:tcPr>
          <w:p>
            <w:pPr>
              <w:pStyle w:val="TableParagraph"/>
              <w:spacing w:line="303" w:lineRule="exact" w:before="37"/>
              <w:ind w:left="50"/>
              <w:jc w:val="left"/>
              <w:rPr>
                <w:sz w:val="18"/>
              </w:rPr>
            </w:pPr>
            <w:r>
              <w:rPr>
                <w:sz w:val="24"/>
              </w:rPr>
              <w:t>X</w:t>
            </w:r>
            <w:r>
              <w:rPr>
                <w:position w:val="-5"/>
                <w:sz w:val="18"/>
              </w:rPr>
              <w:t>i</w:t>
            </w:r>
          </w:p>
        </w:tc>
        <w:tc>
          <w:tcPr>
            <w:tcW w:w="401" w:type="dxa"/>
          </w:tcPr>
          <w:p>
            <w:pPr>
              <w:pStyle w:val="TableParagraph"/>
              <w:spacing w:before="37"/>
              <w:ind w:left="0" w:right="89"/>
              <w:jc w:val="right"/>
              <w:rPr>
                <w:sz w:val="24"/>
              </w:rPr>
            </w:pPr>
            <w:r>
              <w:rPr>
                <w:sz w:val="24"/>
              </w:rPr>
              <w:t>=</w:t>
            </w:r>
          </w:p>
        </w:tc>
        <w:tc>
          <w:tcPr>
            <w:tcW w:w="1600" w:type="dxa"/>
          </w:tcPr>
          <w:p>
            <w:pPr>
              <w:pStyle w:val="TableParagraph"/>
              <w:spacing w:before="37"/>
              <w:ind w:left="88"/>
              <w:jc w:val="left"/>
              <w:rPr>
                <w:sz w:val="24"/>
              </w:rPr>
            </w:pPr>
            <w:r>
              <w:rPr>
                <w:sz w:val="24"/>
              </w:rPr>
              <w:t>basic variables</w:t>
            </w:r>
          </w:p>
        </w:tc>
      </w:tr>
    </w:tbl>
    <w:p>
      <w:pPr>
        <w:pStyle w:val="BodyText"/>
        <w:spacing w:before="8"/>
        <w:rPr>
          <w:sz w:val="26"/>
        </w:rPr>
      </w:pPr>
    </w:p>
    <w:p>
      <w:pPr>
        <w:pStyle w:val="BodyText"/>
        <w:spacing w:line="360" w:lineRule="exact" w:before="26"/>
        <w:ind w:left="177" w:right="111"/>
        <w:jc w:val="both"/>
      </w:pPr>
      <w:r>
        <w:rPr/>
        <w:t>The model f (...) may be complete and exact, so that, if the values of X</w:t>
      </w:r>
      <w:r>
        <w:rPr>
          <w:position w:val="-5"/>
          <w:sz w:val="18"/>
        </w:rPr>
        <w:t>i </w:t>
      </w:r>
      <w:r>
        <w:rPr/>
        <w:t>are known in a particular experiment (from measurements), the outcome Y can be predicted without error. This, however, is not normally the situation. In most cases the model will be incomplete and inexact. This may be the result of lack of knowledge, or a deliberate simplification of the model, for the convenience of the designer. The difference between the model prediction and the real outcome of the experiment can be written down as:</w:t>
      </w:r>
    </w:p>
    <w:p>
      <w:pPr>
        <w:pStyle w:val="BodyText"/>
        <w:spacing w:before="9"/>
        <w:rPr>
          <w:sz w:val="36"/>
        </w:rPr>
      </w:pPr>
    </w:p>
    <w:p>
      <w:pPr>
        <w:pStyle w:val="BodyText"/>
        <w:tabs>
          <w:tab w:pos="7978" w:val="left" w:leader="none"/>
        </w:tabs>
        <w:ind w:left="886"/>
      </w:pPr>
      <w:r>
        <w:rPr/>
        <w:t>Y = f </w:t>
      </w:r>
      <w:r>
        <w:rPr>
          <w:rFonts w:ascii="Arial" w:hAnsi="Arial"/>
          <w:vertAlign w:val="superscript"/>
        </w:rPr>
        <w:t>′</w:t>
      </w:r>
      <w:r>
        <w:rPr>
          <w:rFonts w:ascii="Arial" w:hAnsi="Arial"/>
          <w:vertAlign w:val="baseline"/>
        </w:rPr>
        <w:t> </w:t>
      </w:r>
      <w:r>
        <w:rPr>
          <w:vertAlign w:val="baseline"/>
        </w:rPr>
        <w:t>(X</w:t>
      </w:r>
      <w:r>
        <w:rPr>
          <w:position w:val="-5"/>
          <w:sz w:val="18"/>
          <w:vertAlign w:val="baseline"/>
        </w:rPr>
        <w:t>1 </w:t>
      </w:r>
      <w:r>
        <w:rPr>
          <w:vertAlign w:val="baseline"/>
        </w:rPr>
        <w:t>... X</w:t>
      </w:r>
      <w:r>
        <w:rPr>
          <w:position w:val="-5"/>
          <w:sz w:val="18"/>
          <w:vertAlign w:val="baseline"/>
        </w:rPr>
        <w:t>n</w:t>
      </w:r>
      <w:r>
        <w:rPr>
          <w:vertAlign w:val="baseline"/>
        </w:rPr>
        <w:t>,</w:t>
      </w:r>
      <w:r>
        <w:rPr>
          <w:spacing w:val="-38"/>
          <w:vertAlign w:val="baseline"/>
        </w:rPr>
        <w:t> </w:t>
      </w:r>
      <w:r>
        <w:rPr>
          <w:rFonts w:ascii="Arial" w:hAnsi="Arial"/>
          <w:vertAlign w:val="baseline"/>
        </w:rPr>
        <w:t>θ</w:t>
      </w:r>
      <w:r>
        <w:rPr>
          <w:position w:val="-5"/>
          <w:sz w:val="18"/>
          <w:vertAlign w:val="baseline"/>
        </w:rPr>
        <w:t>1 </w:t>
      </w:r>
      <w:r>
        <w:rPr>
          <w:vertAlign w:val="baseline"/>
        </w:rPr>
        <w:t>...</w:t>
      </w:r>
      <w:r>
        <w:rPr>
          <w:spacing w:val="-2"/>
          <w:vertAlign w:val="baseline"/>
        </w:rPr>
        <w:t> </w:t>
      </w:r>
      <w:r>
        <w:rPr>
          <w:rFonts w:ascii="Arial" w:hAnsi="Arial"/>
          <w:vertAlign w:val="baseline"/>
        </w:rPr>
        <w:t>θ</w:t>
      </w:r>
      <w:r>
        <w:rPr>
          <w:position w:val="-5"/>
          <w:sz w:val="18"/>
          <w:vertAlign w:val="baseline"/>
        </w:rPr>
        <w:t>m</w:t>
      </w:r>
      <w:r>
        <w:rPr>
          <w:vertAlign w:val="baseline"/>
        </w:rPr>
        <w:t>)</w:t>
        <w:tab/>
        <w:t>(6)</w:t>
      </w:r>
    </w:p>
    <w:p>
      <w:pPr>
        <w:spacing w:after="0"/>
        <w:sectPr>
          <w:pgSz w:w="11910" w:h="16840"/>
          <w:pgMar w:header="0" w:footer="788" w:top="1600" w:bottom="980" w:left="1240" w:right="1300"/>
        </w:sectPr>
      </w:pPr>
    </w:p>
    <w:p>
      <w:pPr>
        <w:pStyle w:val="BodyText"/>
        <w:spacing w:line="360" w:lineRule="exact" w:before="38"/>
        <w:ind w:left="177" w:right="111"/>
        <w:jc w:val="both"/>
      </w:pPr>
      <w:r>
        <w:rPr>
          <w:rFonts w:ascii="Arial" w:hAnsi="Arial"/>
        </w:rPr>
        <w:t>θ</w:t>
      </w:r>
      <w:r>
        <w:rPr>
          <w:position w:val="-5"/>
          <w:sz w:val="18"/>
        </w:rPr>
        <w:t>i </w:t>
      </w:r>
      <w:r>
        <w:rPr/>
        <w:t>are referred to as parameters which contain the model uncertainties and are treated as random variables. Their statistical properties can in most cases be derived from experiments or observations. The mean of these parameters should be determined in such a way that, on average, the calculation model correctly predicts the test</w:t>
      </w:r>
      <w:r>
        <w:rPr>
          <w:spacing w:val="-1"/>
        </w:rPr>
        <w:t> </w:t>
      </w:r>
      <w:r>
        <w:rPr/>
        <w:t>results.</w:t>
      </w:r>
    </w:p>
    <w:p>
      <w:pPr>
        <w:pStyle w:val="BodyText"/>
        <w:rPr>
          <w:sz w:val="26"/>
        </w:rPr>
      </w:pPr>
    </w:p>
    <w:p>
      <w:pPr>
        <w:pStyle w:val="BodyText"/>
        <w:rPr>
          <w:sz w:val="26"/>
        </w:rPr>
      </w:pPr>
    </w:p>
    <w:p>
      <w:pPr>
        <w:pStyle w:val="BodyText"/>
        <w:spacing w:before="2"/>
        <w:rPr>
          <w:sz w:val="37"/>
        </w:rPr>
      </w:pPr>
    </w:p>
    <w:p>
      <w:pPr>
        <w:pStyle w:val="Heading2"/>
        <w:numPr>
          <w:ilvl w:val="0"/>
          <w:numId w:val="2"/>
        </w:numPr>
        <w:tabs>
          <w:tab w:pos="538" w:val="left" w:leader="none"/>
        </w:tabs>
        <w:spacing w:line="240" w:lineRule="auto" w:before="1" w:after="0"/>
        <w:ind w:left="537" w:right="0" w:hanging="360"/>
        <w:jc w:val="left"/>
      </w:pPr>
      <w:bookmarkStart w:name="_TOC_250028" w:id="22"/>
      <w:bookmarkEnd w:id="22"/>
      <w:r>
        <w:rPr/>
        <w:t>Reliability</w:t>
      </w:r>
    </w:p>
    <w:p>
      <w:pPr>
        <w:pStyle w:val="Heading2"/>
        <w:numPr>
          <w:ilvl w:val="1"/>
          <w:numId w:val="2"/>
        </w:numPr>
        <w:tabs>
          <w:tab w:pos="1084" w:val="left" w:leader="none"/>
          <w:tab w:pos="1085" w:val="left" w:leader="none"/>
        </w:tabs>
        <w:spacing w:line="240" w:lineRule="auto" w:before="204" w:after="0"/>
        <w:ind w:left="1084" w:right="0" w:hanging="907"/>
        <w:jc w:val="left"/>
      </w:pPr>
      <w:bookmarkStart w:name="_TOC_250027" w:id="23"/>
      <w:bookmarkEnd w:id="23"/>
      <w:r>
        <w:rPr/>
        <w:t>Reliability measures</w:t>
      </w:r>
    </w:p>
    <w:p>
      <w:pPr>
        <w:spacing w:line="312" w:lineRule="auto" w:before="201"/>
        <w:ind w:left="177" w:right="113" w:firstLine="60"/>
        <w:jc w:val="both"/>
        <w:rPr>
          <w:sz w:val="24"/>
        </w:rPr>
      </w:pPr>
      <w:r>
        <w:rPr>
          <w:sz w:val="24"/>
        </w:rPr>
        <w:t>A standard reliability measure may be chosen to be the </w:t>
      </w:r>
      <w:r>
        <w:rPr>
          <w:i/>
          <w:sz w:val="24"/>
        </w:rPr>
        <w:t>generalized reliability index</w:t>
      </w:r>
      <w:r>
        <w:rPr>
          <w:sz w:val="24"/>
        </w:rPr>
        <w:t>. It is defined as:</w:t>
      </w:r>
    </w:p>
    <w:p>
      <w:pPr>
        <w:pStyle w:val="BodyText"/>
        <w:spacing w:before="2"/>
        <w:rPr>
          <w:sz w:val="31"/>
        </w:rPr>
      </w:pPr>
    </w:p>
    <w:p>
      <w:pPr>
        <w:tabs>
          <w:tab w:pos="7978" w:val="left" w:leader="none"/>
        </w:tabs>
        <w:spacing w:before="0"/>
        <w:ind w:left="886" w:right="0" w:firstLine="0"/>
        <w:jc w:val="left"/>
        <w:rPr>
          <w:sz w:val="24"/>
        </w:rPr>
      </w:pPr>
      <w:r>
        <w:rPr>
          <w:rFonts w:ascii="Arial" w:hAnsi="Arial"/>
          <w:sz w:val="24"/>
        </w:rPr>
        <w:t>β </w:t>
      </w:r>
      <w:r>
        <w:rPr>
          <w:sz w:val="24"/>
        </w:rPr>
        <w:t>= -</w:t>
      </w:r>
      <w:r>
        <w:rPr>
          <w:spacing w:val="-15"/>
          <w:sz w:val="24"/>
        </w:rPr>
        <w:t> </w:t>
      </w:r>
      <w:r>
        <w:rPr>
          <w:rFonts w:ascii="Arial" w:hAnsi="Arial"/>
          <w:sz w:val="24"/>
        </w:rPr>
        <w:t>Φ</w:t>
      </w:r>
      <w:r>
        <w:rPr>
          <w:position w:val="6"/>
          <w:sz w:val="18"/>
        </w:rPr>
        <w:t>-1</w:t>
      </w:r>
      <w:r>
        <w:rPr>
          <w:spacing w:val="-2"/>
          <w:position w:val="6"/>
          <w:sz w:val="18"/>
        </w:rPr>
        <w:t> </w:t>
      </w:r>
      <w:r>
        <w:rPr>
          <w:sz w:val="24"/>
        </w:rPr>
        <w:t>(P</w:t>
      </w:r>
      <w:r>
        <w:rPr>
          <w:position w:val="-5"/>
          <w:sz w:val="18"/>
        </w:rPr>
        <w:t>f</w:t>
      </w:r>
      <w:r>
        <w:rPr>
          <w:sz w:val="24"/>
        </w:rPr>
        <w:t>)</w:t>
        <w:tab/>
        <w:t>(7)</w:t>
      </w:r>
    </w:p>
    <w:p>
      <w:pPr>
        <w:pStyle w:val="BodyText"/>
        <w:spacing w:before="6"/>
        <w:rPr>
          <w:sz w:val="34"/>
        </w:rPr>
      </w:pPr>
    </w:p>
    <w:p>
      <w:pPr>
        <w:pStyle w:val="BodyText"/>
        <w:tabs>
          <w:tab w:pos="1595" w:val="left" w:leader="none"/>
        </w:tabs>
        <w:ind w:left="177"/>
      </w:pPr>
      <w:r>
        <w:rPr/>
        <w:t>where </w:t>
      </w:r>
      <w:r>
        <w:rPr>
          <w:spacing w:val="0"/>
        </w:rPr>
        <w:t> </w:t>
      </w:r>
      <w:r>
        <w:rPr/>
        <w:t>P</w:t>
      </w:r>
      <w:r>
        <w:rPr>
          <w:position w:val="-5"/>
          <w:sz w:val="18"/>
        </w:rPr>
        <w:t>f</w:t>
        <w:tab/>
      </w:r>
      <w:r>
        <w:rPr/>
        <w:t>is the probability of</w:t>
      </w:r>
      <w:r>
        <w:rPr>
          <w:spacing w:val="-2"/>
        </w:rPr>
        <w:t> </w:t>
      </w:r>
      <w:r>
        <w:rPr/>
        <w:t>failure</w:t>
      </w:r>
    </w:p>
    <w:p>
      <w:pPr>
        <w:pStyle w:val="BodyText"/>
        <w:spacing w:before="33"/>
        <w:ind w:left="886"/>
      </w:pPr>
      <w:r>
        <w:rPr>
          <w:rFonts w:ascii="Arial" w:hAnsi="Arial"/>
          <w:w w:val="95"/>
        </w:rPr>
        <w:t>Φ</w:t>
      </w:r>
      <w:r>
        <w:rPr>
          <w:position w:val="6"/>
          <w:sz w:val="18"/>
        </w:rPr>
        <w:t>-1</w:t>
      </w:r>
      <w:r>
        <w:rPr/>
        <w:t>(</w:t>
      </w:r>
      <w:r>
        <w:rPr>
          <w:rFonts w:ascii="Arial" w:hAnsi="Arial"/>
          <w:w w:val="33"/>
        </w:rPr>
        <w:t>⋅</w:t>
      </w:r>
      <w:r>
        <w:rPr/>
        <w:t>)  </w:t>
      </w:r>
      <w:r>
        <w:rPr>
          <w:spacing w:val="-25"/>
        </w:rPr>
        <w:t> </w:t>
      </w:r>
      <w:r>
        <w:rPr/>
        <w:t>is the inverse Gaussian distribution</w:t>
      </w:r>
    </w:p>
    <w:p>
      <w:pPr>
        <w:pStyle w:val="BodyText"/>
        <w:spacing w:before="5"/>
        <w:rPr>
          <w:sz w:val="33"/>
        </w:rPr>
      </w:pPr>
    </w:p>
    <w:p>
      <w:pPr>
        <w:pStyle w:val="BodyText"/>
        <w:spacing w:line="312" w:lineRule="auto"/>
        <w:ind w:left="177" w:right="110"/>
        <w:jc w:val="both"/>
      </w:pPr>
      <w:r>
        <w:rPr/>
        <w:t>Another equivalent reliability measure is the probability of the complement of the adverse event</w:t>
      </w:r>
    </w:p>
    <w:p>
      <w:pPr>
        <w:pStyle w:val="BodyText"/>
        <w:spacing w:before="8"/>
        <w:rPr>
          <w:sz w:val="36"/>
        </w:rPr>
      </w:pPr>
    </w:p>
    <w:p>
      <w:pPr>
        <w:tabs>
          <w:tab w:pos="7978" w:val="left" w:leader="none"/>
        </w:tabs>
        <w:spacing w:before="0"/>
        <w:ind w:left="886" w:right="0" w:firstLine="0"/>
        <w:jc w:val="left"/>
        <w:rPr>
          <w:sz w:val="24"/>
        </w:rPr>
      </w:pPr>
      <w:r>
        <w:rPr>
          <w:sz w:val="24"/>
        </w:rPr>
        <w:t>P</w:t>
      </w:r>
      <w:r>
        <w:rPr>
          <w:position w:val="-5"/>
          <w:sz w:val="18"/>
        </w:rPr>
        <w:t>s </w:t>
      </w:r>
      <w:r>
        <w:rPr>
          <w:sz w:val="24"/>
        </w:rPr>
        <w:t>= 1</w:t>
      </w:r>
      <w:r>
        <w:rPr>
          <w:spacing w:val="-13"/>
          <w:sz w:val="24"/>
        </w:rPr>
        <w:t> </w:t>
      </w:r>
      <w:r>
        <w:rPr>
          <w:sz w:val="24"/>
        </w:rPr>
        <w:t>-</w:t>
      </w:r>
      <w:r>
        <w:rPr>
          <w:spacing w:val="-1"/>
          <w:sz w:val="24"/>
        </w:rPr>
        <w:t> </w:t>
      </w:r>
      <w:r>
        <w:rPr>
          <w:sz w:val="24"/>
        </w:rPr>
        <w:t>P</w:t>
      </w:r>
      <w:r>
        <w:rPr>
          <w:position w:val="-5"/>
          <w:sz w:val="18"/>
        </w:rPr>
        <w:t>f</w:t>
        <w:tab/>
      </w:r>
      <w:r>
        <w:rPr>
          <w:sz w:val="24"/>
        </w:rPr>
        <w:t>(8)</w:t>
      </w:r>
    </w:p>
    <w:p>
      <w:pPr>
        <w:pStyle w:val="BodyText"/>
        <w:spacing w:before="6"/>
        <w:rPr>
          <w:sz w:val="34"/>
        </w:rPr>
      </w:pPr>
    </w:p>
    <w:p>
      <w:pPr>
        <w:pStyle w:val="BodyText"/>
        <w:spacing w:line="292" w:lineRule="auto"/>
        <w:ind w:left="177" w:right="113"/>
        <w:jc w:val="both"/>
      </w:pPr>
      <w:r>
        <w:rPr/>
        <w:t>The probability P</w:t>
      </w:r>
      <w:r>
        <w:rPr>
          <w:position w:val="-5"/>
          <w:sz w:val="18"/>
        </w:rPr>
        <w:t>f </w:t>
      </w:r>
      <w:r>
        <w:rPr/>
        <w:t>should be calculated on the basis of the standardized joint distribution type of the basic variables and the standardized distributional formalism of dealing with both model uncertainty and statistical</w:t>
      </w:r>
      <w:r>
        <w:rPr>
          <w:spacing w:val="-1"/>
        </w:rPr>
        <w:t> </w:t>
      </w:r>
      <w:r>
        <w:rPr/>
        <w:t>uncertainty.</w:t>
      </w:r>
    </w:p>
    <w:p>
      <w:pPr>
        <w:pStyle w:val="BodyText"/>
        <w:spacing w:before="4"/>
        <w:rPr>
          <w:sz w:val="33"/>
        </w:rPr>
      </w:pPr>
    </w:p>
    <w:p>
      <w:pPr>
        <w:pStyle w:val="BodyText"/>
        <w:spacing w:line="312" w:lineRule="auto"/>
        <w:ind w:left="177" w:right="111"/>
        <w:jc w:val="both"/>
      </w:pPr>
      <w:r>
        <w:rPr/>
        <w:t>In special situations other than the standardized distribution types can be relevant for the reliability evaluation. In such cases the distributional assumptions must be tested on a suitable representative set of observation data.</w:t>
      </w:r>
    </w:p>
    <w:p>
      <w:pPr>
        <w:pStyle w:val="BodyText"/>
        <w:spacing w:before="7"/>
        <w:rPr>
          <w:sz w:val="31"/>
        </w:rPr>
      </w:pPr>
    </w:p>
    <w:p>
      <w:pPr>
        <w:pStyle w:val="BodyText"/>
        <w:spacing w:line="312" w:lineRule="auto"/>
        <w:ind w:left="177" w:right="112"/>
        <w:jc w:val="both"/>
      </w:pPr>
      <w:r>
        <w:rPr/>
        <w:t>Reliability analysis principles including time-dependent reliability problems are described in Annex C.</w:t>
      </w:r>
    </w:p>
    <w:p>
      <w:pPr>
        <w:pStyle w:val="BodyText"/>
        <w:rPr>
          <w:sz w:val="26"/>
        </w:rPr>
      </w:pPr>
    </w:p>
    <w:p>
      <w:pPr>
        <w:pStyle w:val="Heading2"/>
        <w:numPr>
          <w:ilvl w:val="1"/>
          <w:numId w:val="2"/>
        </w:numPr>
        <w:tabs>
          <w:tab w:pos="1084" w:val="left" w:leader="none"/>
          <w:tab w:pos="1085" w:val="left" w:leader="none"/>
        </w:tabs>
        <w:spacing w:line="240" w:lineRule="auto" w:before="186" w:after="0"/>
        <w:ind w:left="1084" w:right="0" w:hanging="907"/>
        <w:jc w:val="left"/>
      </w:pPr>
      <w:bookmarkStart w:name="_TOC_250026" w:id="24"/>
      <w:bookmarkEnd w:id="24"/>
      <w:r>
        <w:rPr/>
        <w:t>Component reliability and system reliability</w:t>
      </w:r>
    </w:p>
    <w:p>
      <w:pPr>
        <w:pStyle w:val="BodyText"/>
        <w:spacing w:line="312" w:lineRule="auto" w:before="202"/>
        <w:ind w:left="177" w:right="114"/>
        <w:jc w:val="both"/>
      </w:pPr>
      <w:r>
        <w:rPr>
          <w:b/>
        </w:rPr>
        <w:t>Component reliability </w:t>
      </w:r>
      <w:r>
        <w:rPr/>
        <w:t>is the reliability of one single structural component which has one dominating failure mode.</w:t>
      </w:r>
    </w:p>
    <w:p>
      <w:pPr>
        <w:spacing w:after="0" w:line="312" w:lineRule="auto"/>
        <w:jc w:val="both"/>
        <w:sectPr>
          <w:pgSz w:w="11910" w:h="16840"/>
          <w:pgMar w:header="0" w:footer="788" w:top="1420" w:bottom="980" w:left="1240" w:right="1300"/>
        </w:sectPr>
      </w:pPr>
    </w:p>
    <w:p>
      <w:pPr>
        <w:pStyle w:val="BodyText"/>
        <w:spacing w:line="312" w:lineRule="auto" w:before="62"/>
        <w:ind w:left="177" w:right="112"/>
        <w:jc w:val="both"/>
      </w:pPr>
      <w:r>
        <w:rPr>
          <w:b/>
        </w:rPr>
        <w:t>System reliability </w:t>
      </w:r>
      <w:r>
        <w:rPr/>
        <w:t>is the reliability of a structural system composed of a number of components or the reliability of a single component which has several failure modes of nearly equal importance. The following type of systems can be classified:</w:t>
      </w:r>
    </w:p>
    <w:p>
      <w:pPr>
        <w:pStyle w:val="BodyText"/>
        <w:spacing w:before="6"/>
        <w:rPr>
          <w:sz w:val="31"/>
        </w:rPr>
      </w:pPr>
    </w:p>
    <w:p>
      <w:pPr>
        <w:pStyle w:val="ListParagraph"/>
        <w:numPr>
          <w:ilvl w:val="0"/>
          <w:numId w:val="8"/>
        </w:numPr>
        <w:tabs>
          <w:tab w:pos="537" w:val="left" w:leader="none"/>
          <w:tab w:pos="538" w:val="left" w:leader="none"/>
        </w:tabs>
        <w:spacing w:line="312" w:lineRule="auto" w:before="0" w:after="0"/>
        <w:ind w:left="537" w:right="111" w:hanging="360"/>
        <w:jc w:val="left"/>
        <w:rPr>
          <w:sz w:val="24"/>
        </w:rPr>
      </w:pPr>
      <w:r>
        <w:rPr>
          <w:sz w:val="24"/>
        </w:rPr>
        <w:t>-</w:t>
      </w:r>
      <w:r>
        <w:rPr>
          <w:i/>
          <w:sz w:val="24"/>
        </w:rPr>
        <w:t>redundant systems </w:t>
      </w:r>
      <w:r>
        <w:rPr>
          <w:sz w:val="24"/>
        </w:rPr>
        <w:t>where the components are “fail safe”, i.e. local behaviour of one component does not directly result in failure of the</w:t>
      </w:r>
      <w:r>
        <w:rPr>
          <w:spacing w:val="-1"/>
          <w:sz w:val="24"/>
        </w:rPr>
        <w:t> </w:t>
      </w:r>
      <w:r>
        <w:rPr>
          <w:sz w:val="24"/>
        </w:rPr>
        <w:t>structure;</w:t>
      </w:r>
    </w:p>
    <w:p>
      <w:pPr>
        <w:pStyle w:val="ListParagraph"/>
        <w:numPr>
          <w:ilvl w:val="0"/>
          <w:numId w:val="8"/>
        </w:numPr>
        <w:tabs>
          <w:tab w:pos="537" w:val="left" w:leader="none"/>
          <w:tab w:pos="538" w:val="left" w:leader="none"/>
        </w:tabs>
        <w:spacing w:line="312" w:lineRule="auto" w:before="1" w:after="0"/>
        <w:ind w:left="537" w:right="112" w:hanging="360"/>
        <w:jc w:val="left"/>
        <w:rPr>
          <w:sz w:val="24"/>
        </w:rPr>
      </w:pPr>
      <w:r>
        <w:rPr>
          <w:sz w:val="24"/>
        </w:rPr>
        <w:t>-</w:t>
      </w:r>
      <w:r>
        <w:rPr>
          <w:i/>
          <w:sz w:val="24"/>
        </w:rPr>
        <w:t>non-redundant </w:t>
      </w:r>
      <w:r>
        <w:rPr>
          <w:sz w:val="24"/>
        </w:rPr>
        <w:t>systems where local failure of one component leads rapidly to failure of the structure.</w:t>
      </w:r>
    </w:p>
    <w:p>
      <w:pPr>
        <w:pStyle w:val="BodyText"/>
        <w:spacing w:before="6"/>
        <w:rPr>
          <w:sz w:val="31"/>
        </w:rPr>
      </w:pPr>
    </w:p>
    <w:p>
      <w:pPr>
        <w:pStyle w:val="BodyText"/>
        <w:spacing w:line="312" w:lineRule="auto"/>
        <w:ind w:left="177" w:right="108"/>
        <w:jc w:val="both"/>
      </w:pPr>
      <w:r>
        <w:rPr/>
        <w:t>Probabilistic structural design is primarily concerned with </w:t>
      </w:r>
      <w:r>
        <w:rPr>
          <w:i/>
        </w:rPr>
        <w:t>component behaviour</w:t>
      </w:r>
      <w:r>
        <w:rPr/>
        <w:t>. System behaviour is, however, of concern because it is usually the most serious consequence of structural failure. Therefore the likelihood of system failure following an initial component failure should be assessed. In particular, it is necessary to determine the system characteristics in relation to damage tolerance or robustness with respect to accidental events. The requirements for the reliability of the components of a system should depend upon the system characteristics.</w:t>
      </w:r>
    </w:p>
    <w:p>
      <w:pPr>
        <w:pStyle w:val="BodyText"/>
        <w:spacing w:before="1"/>
        <w:rPr>
          <w:sz w:val="32"/>
        </w:rPr>
      </w:pPr>
    </w:p>
    <w:p>
      <w:pPr>
        <w:pStyle w:val="BodyText"/>
        <w:ind w:left="177"/>
      </w:pPr>
      <w:r>
        <w:rPr/>
        <w:t>A probabilistic system analysis should therefore be carried out to establish:</w:t>
      </w:r>
    </w:p>
    <w:p>
      <w:pPr>
        <w:pStyle w:val="ListParagraph"/>
        <w:numPr>
          <w:ilvl w:val="0"/>
          <w:numId w:val="3"/>
        </w:numPr>
        <w:tabs>
          <w:tab w:pos="886" w:val="left" w:leader="none"/>
          <w:tab w:pos="887" w:val="left" w:leader="none"/>
        </w:tabs>
        <w:spacing w:line="240" w:lineRule="auto" w:before="84" w:after="0"/>
        <w:ind w:left="886" w:right="0" w:hanging="709"/>
        <w:jc w:val="left"/>
        <w:rPr>
          <w:sz w:val="24"/>
        </w:rPr>
      </w:pPr>
      <w:r>
        <w:rPr>
          <w:sz w:val="24"/>
        </w:rPr>
        <w:t>the redundancy (alternate load-carrying paths)</w:t>
      </w:r>
    </w:p>
    <w:p>
      <w:pPr>
        <w:pStyle w:val="ListParagraph"/>
        <w:numPr>
          <w:ilvl w:val="0"/>
          <w:numId w:val="3"/>
        </w:numPr>
        <w:tabs>
          <w:tab w:pos="886" w:val="left" w:leader="none"/>
          <w:tab w:pos="887" w:val="left" w:leader="none"/>
        </w:tabs>
        <w:spacing w:line="626" w:lineRule="auto" w:before="84" w:after="0"/>
        <w:ind w:left="177" w:right="2165" w:firstLine="0"/>
        <w:jc w:val="left"/>
        <w:rPr>
          <w:sz w:val="24"/>
        </w:rPr>
      </w:pPr>
      <w:r>
        <w:rPr>
          <w:sz w:val="24"/>
        </w:rPr>
        <w:t>the state and complexity of the structure (multiple failure modes). Furher aspects on system reliability are provided in Annex</w:t>
      </w:r>
      <w:r>
        <w:rPr>
          <w:spacing w:val="-2"/>
          <w:sz w:val="24"/>
        </w:rPr>
        <w:t> </w:t>
      </w:r>
      <w:r>
        <w:rPr>
          <w:sz w:val="24"/>
        </w:rPr>
        <w:t>C.</w:t>
      </w:r>
    </w:p>
    <w:p>
      <w:pPr>
        <w:pStyle w:val="Heading2"/>
        <w:numPr>
          <w:ilvl w:val="1"/>
          <w:numId w:val="2"/>
        </w:numPr>
        <w:tabs>
          <w:tab w:pos="1084" w:val="left" w:leader="none"/>
          <w:tab w:pos="1085" w:val="left" w:leader="none"/>
        </w:tabs>
        <w:spacing w:line="240" w:lineRule="auto" w:before="122" w:after="0"/>
        <w:ind w:left="1084" w:right="0" w:hanging="907"/>
        <w:jc w:val="left"/>
      </w:pPr>
      <w:bookmarkStart w:name="_TOC_250025" w:id="25"/>
      <w:bookmarkEnd w:id="25"/>
      <w:r>
        <w:rPr/>
        <w:t>Methods for reliability analysis and calculation</w:t>
      </w:r>
    </w:p>
    <w:p>
      <w:pPr>
        <w:pStyle w:val="BodyText"/>
        <w:spacing w:line="312" w:lineRule="auto" w:before="201"/>
        <w:ind w:left="177" w:right="110"/>
        <w:jc w:val="both"/>
      </w:pPr>
      <w:r>
        <w:rPr/>
        <w:t>The numerical value of the reliability measure is obtained by a reliability analysis and calculation method (see Annex C). The reliability method used should be capable of producing a sensitivity analysis including importance factors for uncertain parameters. The choice of the method should be in general justified. The justification can be for example  based by another relevant computation method or by reference to appropriate</w:t>
      </w:r>
      <w:r>
        <w:rPr>
          <w:spacing w:val="-2"/>
        </w:rPr>
        <w:t> </w:t>
      </w:r>
      <w:r>
        <w:rPr/>
        <w:t>literature.</w:t>
      </w:r>
    </w:p>
    <w:p>
      <w:pPr>
        <w:pStyle w:val="BodyText"/>
        <w:spacing w:before="10"/>
        <w:rPr>
          <w:sz w:val="31"/>
        </w:rPr>
      </w:pPr>
    </w:p>
    <w:p>
      <w:pPr>
        <w:pStyle w:val="BodyText"/>
        <w:spacing w:line="312" w:lineRule="auto"/>
        <w:ind w:left="177" w:right="111"/>
        <w:jc w:val="both"/>
      </w:pPr>
      <w:r>
        <w:rPr/>
        <w:t>Due to the computational complexity a method giving an approximation to the exact result is generally applied. Two fundamental accuracy requirements are:</w:t>
      </w:r>
    </w:p>
    <w:p>
      <w:pPr>
        <w:pStyle w:val="BodyText"/>
        <w:spacing w:before="6"/>
        <w:rPr>
          <w:sz w:val="31"/>
        </w:rPr>
      </w:pPr>
    </w:p>
    <w:p>
      <w:pPr>
        <w:pStyle w:val="ListParagraph"/>
        <w:numPr>
          <w:ilvl w:val="0"/>
          <w:numId w:val="3"/>
        </w:numPr>
        <w:tabs>
          <w:tab w:pos="886" w:val="left" w:leader="none"/>
          <w:tab w:pos="887" w:val="left" w:leader="none"/>
        </w:tabs>
        <w:spacing w:line="312" w:lineRule="auto" w:before="0" w:after="0"/>
        <w:ind w:left="885" w:right="460" w:hanging="708"/>
        <w:jc w:val="left"/>
        <w:rPr>
          <w:sz w:val="24"/>
        </w:rPr>
      </w:pPr>
      <w:r>
        <w:rPr>
          <w:sz w:val="24"/>
        </w:rPr>
        <w:t>Overestimation of the reliability due to use of an approximative calculation method shall be within limits generally accepted for the specific type of</w:t>
      </w:r>
      <w:r>
        <w:rPr>
          <w:spacing w:val="-1"/>
          <w:sz w:val="24"/>
        </w:rPr>
        <w:t> </w:t>
      </w:r>
      <w:r>
        <w:rPr>
          <w:sz w:val="24"/>
        </w:rPr>
        <w:t>structure.</w:t>
      </w:r>
    </w:p>
    <w:p>
      <w:pPr>
        <w:pStyle w:val="ListParagraph"/>
        <w:numPr>
          <w:ilvl w:val="0"/>
          <w:numId w:val="3"/>
        </w:numPr>
        <w:tabs>
          <w:tab w:pos="886" w:val="left" w:leader="none"/>
          <w:tab w:pos="887" w:val="left" w:leader="none"/>
        </w:tabs>
        <w:spacing w:line="312" w:lineRule="auto" w:before="2" w:after="0"/>
        <w:ind w:left="885" w:right="344" w:hanging="708"/>
        <w:jc w:val="left"/>
        <w:rPr>
          <w:sz w:val="24"/>
        </w:rPr>
      </w:pPr>
      <w:r>
        <w:rPr>
          <w:sz w:val="24"/>
        </w:rPr>
        <w:t>The overestimation of the reliability index should not exceed 5 % with respect to the target level.</w:t>
      </w:r>
    </w:p>
    <w:p>
      <w:pPr>
        <w:spacing w:after="0" w:line="312" w:lineRule="auto"/>
        <w:jc w:val="left"/>
        <w:rPr>
          <w:sz w:val="24"/>
        </w:rPr>
        <w:sectPr>
          <w:pgSz w:w="11910" w:h="16840"/>
          <w:pgMar w:header="0" w:footer="788" w:top="1460" w:bottom="980" w:left="1240" w:right="1300"/>
        </w:sectPr>
      </w:pPr>
    </w:p>
    <w:p>
      <w:pPr>
        <w:pStyle w:val="BodyText"/>
        <w:spacing w:line="312" w:lineRule="auto" w:before="62"/>
        <w:ind w:left="177" w:right="114"/>
        <w:jc w:val="both"/>
      </w:pPr>
      <w:r>
        <w:rPr/>
        <w:t>The accuracy of the reliability calculation method is linked to the sensitivity with respect to structural dimensions and material properties in the resulting design.</w:t>
      </w:r>
    </w:p>
    <w:p>
      <w:pPr>
        <w:pStyle w:val="BodyText"/>
        <w:rPr>
          <w:sz w:val="26"/>
        </w:rPr>
      </w:pPr>
    </w:p>
    <w:p>
      <w:pPr>
        <w:pStyle w:val="BodyText"/>
        <w:spacing w:before="6"/>
        <w:rPr>
          <w:sz w:val="26"/>
        </w:rPr>
      </w:pPr>
    </w:p>
    <w:p>
      <w:pPr>
        <w:pStyle w:val="Heading2"/>
        <w:numPr>
          <w:ilvl w:val="0"/>
          <w:numId w:val="2"/>
        </w:numPr>
        <w:tabs>
          <w:tab w:pos="538" w:val="left" w:leader="none"/>
        </w:tabs>
        <w:spacing w:line="240" w:lineRule="auto" w:before="1" w:after="0"/>
        <w:ind w:left="537" w:right="0" w:hanging="360"/>
        <w:jc w:val="both"/>
      </w:pPr>
      <w:bookmarkStart w:name="_TOC_250024" w:id="26"/>
      <w:bookmarkEnd w:id="26"/>
      <w:r>
        <w:rPr/>
        <w:t>Target Reliability</w:t>
      </w:r>
    </w:p>
    <w:p>
      <w:pPr>
        <w:pStyle w:val="Heading2"/>
        <w:numPr>
          <w:ilvl w:val="1"/>
          <w:numId w:val="2"/>
        </w:numPr>
        <w:tabs>
          <w:tab w:pos="1085" w:val="left" w:leader="none"/>
        </w:tabs>
        <w:spacing w:line="240" w:lineRule="auto" w:before="204" w:after="0"/>
        <w:ind w:left="1084" w:right="0" w:hanging="907"/>
        <w:jc w:val="both"/>
      </w:pPr>
      <w:bookmarkStart w:name="_TOC_250023" w:id="27"/>
      <w:bookmarkEnd w:id="27"/>
      <w:r>
        <w:rPr/>
        <w:t>General Aspects</w:t>
      </w:r>
    </w:p>
    <w:p>
      <w:pPr>
        <w:spacing w:line="312" w:lineRule="auto" w:before="201"/>
        <w:ind w:left="177" w:right="111" w:firstLine="0"/>
        <w:jc w:val="both"/>
        <w:rPr>
          <w:sz w:val="24"/>
        </w:rPr>
      </w:pPr>
      <w:r>
        <w:rPr>
          <w:sz w:val="24"/>
        </w:rPr>
        <w:t>In terms of a reliability based approach the structural risk acceptance criteria correspond to a required minimum reliability herein defined as </w:t>
      </w:r>
      <w:r>
        <w:rPr>
          <w:i/>
          <w:sz w:val="24"/>
        </w:rPr>
        <w:t>target reliability</w:t>
      </w:r>
      <w:r>
        <w:rPr>
          <w:sz w:val="24"/>
        </w:rPr>
        <w:t>. The requirements to the safety of the structure are consequently expressed in terms of </w:t>
      </w:r>
      <w:r>
        <w:rPr>
          <w:i/>
          <w:sz w:val="24"/>
        </w:rPr>
        <w:t>the accepted minimum reliability index </w:t>
      </w:r>
      <w:r>
        <w:rPr>
          <w:sz w:val="24"/>
        </w:rPr>
        <w:t>or </w:t>
      </w:r>
      <w:r>
        <w:rPr>
          <w:i/>
          <w:sz w:val="24"/>
        </w:rPr>
        <w:t>the accepted maximum failure probability</w:t>
      </w:r>
      <w:r>
        <w:rPr>
          <w:sz w:val="24"/>
        </w:rPr>
        <w:t>.</w:t>
      </w:r>
    </w:p>
    <w:p>
      <w:pPr>
        <w:pStyle w:val="BodyText"/>
        <w:spacing w:before="8"/>
        <w:rPr>
          <w:sz w:val="31"/>
        </w:rPr>
      </w:pPr>
    </w:p>
    <w:p>
      <w:pPr>
        <w:pStyle w:val="BodyText"/>
        <w:spacing w:line="312" w:lineRule="auto" w:before="1"/>
        <w:ind w:left="177" w:right="110"/>
        <w:jc w:val="both"/>
      </w:pPr>
      <w:r>
        <w:rPr/>
        <w:t>In a rational analysis the target reliability is considered as a control parameter subject to </w:t>
      </w:r>
      <w:r>
        <w:rPr>
          <w:i/>
        </w:rPr>
        <w:t>optimization</w:t>
      </w:r>
      <w:r>
        <w:rPr/>
        <w:t>. The parameter assigns a particular investment to the material placed in the structure. The more material - invested in right places - the less is the expected loss. Such optimization is mainly possible when economic loss components dominate over life, injury, and culture components. When the expected loss of life or limb is important, the optimal reliability level becomes more controversional. Frequently, this leads to the problem of the economic equivalent of human life; </w:t>
      </w:r>
      <w:r>
        <w:rPr>
          <w:i/>
        </w:rPr>
        <w:t>risk-benefit analyses </w:t>
      </w:r>
      <w:r>
        <w:rPr/>
        <w:t>are then applied to circuvent this difficulty; the </w:t>
      </w:r>
      <w:r>
        <w:rPr>
          <w:i/>
        </w:rPr>
        <w:t>reliability of the system is translated into the cost per life saved</w:t>
      </w:r>
      <w:r>
        <w:rPr/>
        <w:t>. The target reliability may then be chosen such that the cost per life saved is at acceptable levels (for example comparable to other similar systems).</w:t>
      </w:r>
    </w:p>
    <w:p>
      <w:pPr>
        <w:pStyle w:val="BodyText"/>
        <w:spacing w:before="4"/>
        <w:rPr>
          <w:sz w:val="32"/>
        </w:rPr>
      </w:pPr>
    </w:p>
    <w:p>
      <w:pPr>
        <w:pStyle w:val="BodyText"/>
        <w:ind w:left="177"/>
      </w:pPr>
      <w:r>
        <w:rPr/>
        <w:t>In a practical approach the required reliability of the structure is controlled by:</w:t>
      </w:r>
    </w:p>
    <w:p>
      <w:pPr>
        <w:pStyle w:val="ListParagraph"/>
        <w:numPr>
          <w:ilvl w:val="0"/>
          <w:numId w:val="9"/>
        </w:numPr>
        <w:tabs>
          <w:tab w:pos="433" w:val="left" w:leader="none"/>
        </w:tabs>
        <w:spacing w:line="312" w:lineRule="auto" w:before="84" w:after="0"/>
        <w:ind w:left="177" w:right="111" w:firstLine="0"/>
        <w:jc w:val="both"/>
        <w:rPr>
          <w:sz w:val="24"/>
        </w:rPr>
      </w:pPr>
      <w:r>
        <w:rPr>
          <w:sz w:val="24"/>
        </w:rPr>
        <w:t>a set of assumptions about </w:t>
      </w:r>
      <w:r>
        <w:rPr>
          <w:i/>
          <w:sz w:val="24"/>
        </w:rPr>
        <w:t>quality assurance </w:t>
      </w:r>
      <w:r>
        <w:rPr>
          <w:sz w:val="24"/>
        </w:rPr>
        <w:t>and </w:t>
      </w:r>
      <w:r>
        <w:rPr>
          <w:i/>
          <w:sz w:val="24"/>
        </w:rPr>
        <w:t>quality management </w:t>
      </w:r>
      <w:r>
        <w:rPr>
          <w:sz w:val="24"/>
        </w:rPr>
        <w:t>measures; these measures are for example related to design and construction supervision and are intended to avoid </w:t>
      </w:r>
      <w:r>
        <w:rPr>
          <w:i/>
          <w:sz w:val="24"/>
        </w:rPr>
        <w:t>gross</w:t>
      </w:r>
      <w:r>
        <w:rPr>
          <w:i/>
          <w:spacing w:val="-1"/>
          <w:sz w:val="24"/>
        </w:rPr>
        <w:t> </w:t>
      </w:r>
      <w:r>
        <w:rPr>
          <w:i/>
          <w:sz w:val="24"/>
        </w:rPr>
        <w:t>errors</w:t>
      </w:r>
      <w:r>
        <w:rPr>
          <w:sz w:val="24"/>
        </w:rPr>
        <w:t>.</w:t>
      </w:r>
    </w:p>
    <w:p>
      <w:pPr>
        <w:pStyle w:val="ListParagraph"/>
        <w:numPr>
          <w:ilvl w:val="0"/>
          <w:numId w:val="9"/>
        </w:numPr>
        <w:tabs>
          <w:tab w:pos="487" w:val="left" w:leader="none"/>
        </w:tabs>
        <w:spacing w:line="312" w:lineRule="auto" w:before="4" w:after="0"/>
        <w:ind w:left="177" w:right="113" w:firstLine="0"/>
        <w:jc w:val="both"/>
        <w:rPr>
          <w:sz w:val="24"/>
        </w:rPr>
      </w:pPr>
      <w:r>
        <w:rPr>
          <w:sz w:val="24"/>
        </w:rPr>
        <w:t>formal failure probability requirements, </w:t>
      </w:r>
      <w:r>
        <w:rPr>
          <w:i/>
          <w:sz w:val="24"/>
        </w:rPr>
        <w:t>conditional upon these assumptions</w:t>
      </w:r>
      <w:r>
        <w:rPr>
          <w:sz w:val="24"/>
        </w:rPr>
        <w:t>, defined by specified target values for the various classes of structures and structural</w:t>
      </w:r>
      <w:r>
        <w:rPr>
          <w:spacing w:val="-2"/>
          <w:sz w:val="24"/>
        </w:rPr>
        <w:t> </w:t>
      </w:r>
      <w:r>
        <w:rPr>
          <w:sz w:val="24"/>
        </w:rPr>
        <w:t>members.</w:t>
      </w:r>
    </w:p>
    <w:p>
      <w:pPr>
        <w:pStyle w:val="BodyText"/>
        <w:rPr>
          <w:sz w:val="26"/>
        </w:rPr>
      </w:pPr>
    </w:p>
    <w:p>
      <w:pPr>
        <w:pStyle w:val="Heading2"/>
        <w:numPr>
          <w:ilvl w:val="1"/>
          <w:numId w:val="2"/>
        </w:numPr>
        <w:tabs>
          <w:tab w:pos="1085" w:val="left" w:leader="none"/>
        </w:tabs>
        <w:spacing w:line="240" w:lineRule="auto" w:before="186" w:after="0"/>
        <w:ind w:left="1084" w:right="0" w:hanging="907"/>
        <w:jc w:val="both"/>
      </w:pPr>
      <w:bookmarkStart w:name="_TOC_250022" w:id="28"/>
      <w:bookmarkEnd w:id="28"/>
      <w:r>
        <w:rPr/>
        <w:t>Recommendations</w:t>
      </w:r>
    </w:p>
    <w:p>
      <w:pPr>
        <w:pStyle w:val="BodyText"/>
        <w:spacing w:line="312" w:lineRule="auto" w:before="201"/>
        <w:ind w:left="177" w:right="109"/>
        <w:jc w:val="both"/>
      </w:pPr>
      <w:r>
        <w:rPr/>
        <w:t>Target reliability values are provided in the next paragraphs. They are based on optimization procedures and on the assumption that for allmost all engineering facilities the only reasonable reconstruction policy is systematic rebuilding or</w:t>
      </w:r>
      <w:r>
        <w:rPr>
          <w:spacing w:val="-1"/>
        </w:rPr>
        <w:t> </w:t>
      </w:r>
      <w:r>
        <w:rPr/>
        <w:t>repair.</w:t>
      </w:r>
    </w:p>
    <w:p>
      <w:pPr>
        <w:pStyle w:val="BodyText"/>
        <w:spacing w:before="2"/>
        <w:rPr>
          <w:sz w:val="21"/>
        </w:rPr>
      </w:pPr>
    </w:p>
    <w:p>
      <w:pPr>
        <w:pStyle w:val="ListParagraph"/>
        <w:numPr>
          <w:ilvl w:val="2"/>
          <w:numId w:val="10"/>
        </w:numPr>
        <w:tabs>
          <w:tab w:pos="1085" w:val="left" w:leader="none"/>
        </w:tabs>
        <w:spacing w:line="240" w:lineRule="auto" w:before="0" w:after="0"/>
        <w:ind w:left="1084" w:right="0" w:hanging="907"/>
        <w:jc w:val="both"/>
        <w:rPr>
          <w:sz w:val="24"/>
        </w:rPr>
      </w:pPr>
      <w:r>
        <w:rPr>
          <w:sz w:val="24"/>
          <w:u w:val="single"/>
        </w:rPr>
        <w:t>Ultimate Limit</w:t>
      </w:r>
      <w:r>
        <w:rPr>
          <w:spacing w:val="-1"/>
          <w:sz w:val="24"/>
          <w:u w:val="single"/>
        </w:rPr>
        <w:t> </w:t>
      </w:r>
      <w:r>
        <w:rPr>
          <w:sz w:val="24"/>
          <w:u w:val="single"/>
        </w:rPr>
        <w:t>States</w:t>
      </w:r>
    </w:p>
    <w:p>
      <w:pPr>
        <w:pStyle w:val="BodyText"/>
        <w:spacing w:before="4"/>
        <w:rPr>
          <w:sz w:val="20"/>
        </w:rPr>
      </w:pPr>
    </w:p>
    <w:p>
      <w:pPr>
        <w:pStyle w:val="BodyText"/>
        <w:spacing w:line="312" w:lineRule="auto" w:before="90"/>
        <w:ind w:left="177" w:right="122"/>
      </w:pPr>
      <w:r>
        <w:rPr/>
        <w:t>Target reliability values for ultimate limit states are proposed in Table 1. The values in Table 1 are obtained based on cost benefit analysis for the public at characteristic and</w:t>
      </w:r>
      <w:r>
        <w:rPr>
          <w:spacing w:val="33"/>
        </w:rPr>
        <w:t> </w:t>
      </w:r>
      <w:r>
        <w:rPr/>
        <w:t>representative</w:t>
      </w:r>
    </w:p>
    <w:p>
      <w:pPr>
        <w:spacing w:after="0" w:line="312" w:lineRule="auto"/>
        <w:sectPr>
          <w:pgSz w:w="11910" w:h="16840"/>
          <w:pgMar w:header="0" w:footer="788" w:top="1460" w:bottom="980" w:left="1240" w:right="1300"/>
        </w:sectPr>
      </w:pPr>
    </w:p>
    <w:p>
      <w:pPr>
        <w:pStyle w:val="BodyText"/>
        <w:spacing w:line="312" w:lineRule="auto" w:before="62"/>
        <w:ind w:left="177"/>
      </w:pPr>
      <w:r>
        <w:rPr/>
        <w:t>but simple example structures and are compatible with calibration studies and statistical observations.</w:t>
      </w:r>
    </w:p>
    <w:p>
      <w:pPr>
        <w:pStyle w:val="BodyText"/>
        <w:spacing w:before="6"/>
        <w:rPr>
          <w:sz w:val="31"/>
        </w:rPr>
      </w:pPr>
    </w:p>
    <w:p>
      <w:pPr>
        <w:pStyle w:val="Heading2"/>
        <w:spacing w:line="314" w:lineRule="auto"/>
        <w:ind w:left="177" w:right="115" w:firstLine="0"/>
      </w:pPr>
      <w:r>
        <w:rPr/>
        <w:pict>
          <v:shape style="position:absolute;margin-left:67.019997pt;margin-top:31.896149pt;width:422.8pt;height:143.85pt;mso-position-horizontal-relative:page;mso-position-vertical-relative:paragraph;z-index:1048"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117"/>
                    <w:gridCol w:w="2064"/>
                    <w:gridCol w:w="2126"/>
                    <w:gridCol w:w="2126"/>
                  </w:tblGrid>
                  <w:tr>
                    <w:trPr>
                      <w:trHeight w:val="421" w:hRule="atLeast"/>
                    </w:trPr>
                    <w:tc>
                      <w:tcPr>
                        <w:tcW w:w="2117" w:type="dxa"/>
                      </w:tcPr>
                      <w:p>
                        <w:pPr>
                          <w:pStyle w:val="TableParagraph"/>
                          <w:spacing w:before="2"/>
                          <w:ind w:left="16"/>
                          <w:rPr>
                            <w:sz w:val="24"/>
                          </w:rPr>
                        </w:pPr>
                        <w:r>
                          <w:rPr>
                            <w:sz w:val="24"/>
                          </w:rPr>
                          <w:t>1</w:t>
                        </w:r>
                      </w:p>
                    </w:tc>
                    <w:tc>
                      <w:tcPr>
                        <w:tcW w:w="2064" w:type="dxa"/>
                      </w:tcPr>
                      <w:p>
                        <w:pPr>
                          <w:pStyle w:val="TableParagraph"/>
                          <w:spacing w:before="2"/>
                          <w:ind w:left="14"/>
                          <w:rPr>
                            <w:sz w:val="24"/>
                          </w:rPr>
                        </w:pPr>
                        <w:r>
                          <w:rPr>
                            <w:sz w:val="24"/>
                          </w:rPr>
                          <w:t>2</w:t>
                        </w:r>
                      </w:p>
                    </w:tc>
                    <w:tc>
                      <w:tcPr>
                        <w:tcW w:w="2126" w:type="dxa"/>
                      </w:tcPr>
                      <w:p>
                        <w:pPr>
                          <w:pStyle w:val="TableParagraph"/>
                          <w:spacing w:before="2"/>
                          <w:ind w:left="14"/>
                          <w:rPr>
                            <w:sz w:val="24"/>
                          </w:rPr>
                        </w:pPr>
                        <w:r>
                          <w:rPr>
                            <w:sz w:val="24"/>
                          </w:rPr>
                          <w:t>3</w:t>
                        </w:r>
                      </w:p>
                    </w:tc>
                    <w:tc>
                      <w:tcPr>
                        <w:tcW w:w="2126" w:type="dxa"/>
                      </w:tcPr>
                      <w:p>
                        <w:pPr>
                          <w:pStyle w:val="TableParagraph"/>
                          <w:spacing w:before="2"/>
                          <w:ind w:left="17"/>
                          <w:rPr>
                            <w:sz w:val="24"/>
                          </w:rPr>
                        </w:pPr>
                        <w:r>
                          <w:rPr>
                            <w:sz w:val="24"/>
                          </w:rPr>
                          <w:t>4</w:t>
                        </w:r>
                      </w:p>
                    </w:tc>
                  </w:tr>
                  <w:tr>
                    <w:trPr>
                      <w:trHeight w:val="1146" w:hRule="atLeast"/>
                    </w:trPr>
                    <w:tc>
                      <w:tcPr>
                        <w:tcW w:w="2117" w:type="dxa"/>
                      </w:tcPr>
                      <w:p>
                        <w:pPr>
                          <w:pStyle w:val="TableParagraph"/>
                          <w:spacing w:line="362" w:lineRule="auto"/>
                          <w:ind w:left="694" w:right="43" w:hanging="616"/>
                          <w:jc w:val="left"/>
                          <w:rPr>
                            <w:sz w:val="22"/>
                          </w:rPr>
                        </w:pPr>
                        <w:r>
                          <w:rPr>
                            <w:sz w:val="22"/>
                          </w:rPr>
                          <w:t>Relative cost of safety measure</w:t>
                        </w:r>
                      </w:p>
                    </w:tc>
                    <w:tc>
                      <w:tcPr>
                        <w:tcW w:w="2064" w:type="dxa"/>
                      </w:tcPr>
                      <w:p>
                        <w:pPr>
                          <w:pStyle w:val="TableParagraph"/>
                          <w:spacing w:line="362" w:lineRule="auto"/>
                          <w:ind w:left="625" w:right="91" w:hanging="502"/>
                          <w:jc w:val="left"/>
                          <w:rPr>
                            <w:sz w:val="22"/>
                          </w:rPr>
                        </w:pPr>
                        <w:r>
                          <w:rPr>
                            <w:sz w:val="22"/>
                          </w:rPr>
                          <w:t>Minor consequences of failure</w:t>
                        </w:r>
                      </w:p>
                    </w:tc>
                    <w:tc>
                      <w:tcPr>
                        <w:tcW w:w="2126" w:type="dxa"/>
                      </w:tcPr>
                      <w:p>
                        <w:pPr>
                          <w:pStyle w:val="TableParagraph"/>
                          <w:spacing w:line="362" w:lineRule="auto"/>
                          <w:ind w:left="339" w:right="322" w:hanging="1"/>
                          <w:rPr>
                            <w:sz w:val="22"/>
                          </w:rPr>
                        </w:pPr>
                        <w:r>
                          <w:rPr>
                            <w:sz w:val="22"/>
                          </w:rPr>
                          <w:t>Moderate consequences of</w:t>
                        </w:r>
                      </w:p>
                      <w:p>
                        <w:pPr>
                          <w:pStyle w:val="TableParagraph"/>
                          <w:spacing w:line="252" w:lineRule="exact"/>
                          <w:ind w:left="753" w:right="739"/>
                          <w:rPr>
                            <w:sz w:val="22"/>
                          </w:rPr>
                        </w:pPr>
                        <w:r>
                          <w:rPr>
                            <w:sz w:val="22"/>
                          </w:rPr>
                          <w:t>failure</w:t>
                        </w:r>
                      </w:p>
                    </w:tc>
                    <w:tc>
                      <w:tcPr>
                        <w:tcW w:w="2126" w:type="dxa"/>
                      </w:tcPr>
                      <w:p>
                        <w:pPr>
                          <w:pStyle w:val="TableParagraph"/>
                          <w:spacing w:line="362" w:lineRule="auto"/>
                          <w:ind w:left="340" w:right="320" w:hanging="2"/>
                          <w:rPr>
                            <w:sz w:val="22"/>
                          </w:rPr>
                        </w:pPr>
                        <w:r>
                          <w:rPr>
                            <w:sz w:val="22"/>
                          </w:rPr>
                          <w:t>Large consequences of</w:t>
                        </w:r>
                      </w:p>
                      <w:p>
                        <w:pPr>
                          <w:pStyle w:val="TableParagraph"/>
                          <w:spacing w:line="252" w:lineRule="exact"/>
                          <w:ind w:left="755" w:right="738"/>
                          <w:rPr>
                            <w:sz w:val="22"/>
                          </w:rPr>
                        </w:pPr>
                        <w:r>
                          <w:rPr>
                            <w:sz w:val="22"/>
                          </w:rPr>
                          <w:t>failure</w:t>
                        </w:r>
                      </w:p>
                    </w:tc>
                  </w:tr>
                  <w:tr>
                    <w:trPr>
                      <w:trHeight w:val="406" w:hRule="atLeast"/>
                    </w:trPr>
                    <w:tc>
                      <w:tcPr>
                        <w:tcW w:w="2117" w:type="dxa"/>
                      </w:tcPr>
                      <w:p>
                        <w:pPr>
                          <w:pStyle w:val="TableParagraph"/>
                          <w:ind w:left="527" w:right="512"/>
                          <w:rPr>
                            <w:sz w:val="22"/>
                          </w:rPr>
                        </w:pPr>
                        <w:r>
                          <w:rPr>
                            <w:sz w:val="22"/>
                          </w:rPr>
                          <w:t>Large (A)</w:t>
                        </w:r>
                      </w:p>
                    </w:tc>
                    <w:tc>
                      <w:tcPr>
                        <w:tcW w:w="2064" w:type="dxa"/>
                      </w:tcPr>
                      <w:p>
                        <w:pPr>
                          <w:pStyle w:val="TableParagraph"/>
                          <w:spacing w:before="15"/>
                          <w:jc w:val="left"/>
                          <w:rPr>
                            <w:sz w:val="22"/>
                          </w:rPr>
                        </w:pPr>
                        <w:r>
                          <w:rPr>
                            <w:rFonts w:ascii="Arial" w:hAnsi="Arial"/>
                            <w:sz w:val="22"/>
                          </w:rPr>
                          <w:t>β</w:t>
                        </w:r>
                        <w:r>
                          <w:rPr>
                            <w:sz w:val="22"/>
                          </w:rPr>
                          <w:t>=3.1 (p</w:t>
                        </w:r>
                        <w:r>
                          <w:rPr>
                            <w:sz w:val="22"/>
                            <w:vertAlign w:val="subscript"/>
                          </w:rPr>
                          <w:t>F</w:t>
                        </w:r>
                        <w:r>
                          <w:rPr>
                            <w:rFonts w:ascii="Arial" w:hAnsi="Arial"/>
                            <w:sz w:val="22"/>
                            <w:vertAlign w:val="baseline"/>
                          </w:rPr>
                          <w:t>≈</w:t>
                        </w:r>
                        <w:r>
                          <w:rPr>
                            <w:sz w:val="22"/>
                            <w:vertAlign w:val="baseline"/>
                          </w:rPr>
                          <w:t>10</w:t>
                        </w:r>
                        <w:r>
                          <w:rPr>
                            <w:sz w:val="22"/>
                            <w:vertAlign w:val="superscript"/>
                          </w:rPr>
                          <w:t>-3</w:t>
                        </w:r>
                        <w:r>
                          <w:rPr>
                            <w:sz w:val="22"/>
                            <w:vertAlign w:val="baseline"/>
                          </w:rPr>
                          <w:t>)</w:t>
                        </w:r>
                      </w:p>
                    </w:tc>
                    <w:tc>
                      <w:tcPr>
                        <w:tcW w:w="2126" w:type="dxa"/>
                      </w:tcPr>
                      <w:p>
                        <w:pPr>
                          <w:pStyle w:val="TableParagraph"/>
                          <w:spacing w:before="15"/>
                          <w:jc w:val="left"/>
                          <w:rPr>
                            <w:sz w:val="22"/>
                          </w:rPr>
                        </w:pPr>
                        <w:r>
                          <w:rPr>
                            <w:rFonts w:ascii="Arial" w:hAnsi="Arial"/>
                            <w:sz w:val="22"/>
                          </w:rPr>
                          <w:t>β</w:t>
                        </w:r>
                        <w:r>
                          <w:rPr>
                            <w:sz w:val="22"/>
                          </w:rPr>
                          <w:t>=3.3 (p</w:t>
                        </w:r>
                        <w:r>
                          <w:rPr>
                            <w:sz w:val="22"/>
                            <w:vertAlign w:val="subscript"/>
                          </w:rPr>
                          <w:t>F</w:t>
                        </w:r>
                        <w:r>
                          <w:rPr>
                            <w:sz w:val="22"/>
                            <w:vertAlign w:val="baseline"/>
                          </w:rPr>
                          <w:t> </w:t>
                        </w:r>
                        <w:r>
                          <w:rPr>
                            <w:rFonts w:ascii="Arial" w:hAnsi="Arial"/>
                            <w:sz w:val="22"/>
                            <w:vertAlign w:val="baseline"/>
                          </w:rPr>
                          <w:t>≈ </w:t>
                        </w:r>
                        <w:r>
                          <w:rPr>
                            <w:sz w:val="22"/>
                            <w:vertAlign w:val="baseline"/>
                          </w:rPr>
                          <w:t>5 10</w:t>
                        </w:r>
                        <w:r>
                          <w:rPr>
                            <w:sz w:val="22"/>
                            <w:vertAlign w:val="superscript"/>
                          </w:rPr>
                          <w:t>-4</w:t>
                        </w:r>
                        <w:r>
                          <w:rPr>
                            <w:sz w:val="22"/>
                            <w:vertAlign w:val="baseline"/>
                          </w:rPr>
                          <w:t>)</w:t>
                        </w:r>
                      </w:p>
                    </w:tc>
                    <w:tc>
                      <w:tcPr>
                        <w:tcW w:w="2126" w:type="dxa"/>
                      </w:tcPr>
                      <w:p>
                        <w:pPr>
                          <w:pStyle w:val="TableParagraph"/>
                          <w:spacing w:before="15"/>
                          <w:ind w:left="181"/>
                          <w:jc w:val="left"/>
                          <w:rPr>
                            <w:sz w:val="22"/>
                          </w:rPr>
                        </w:pPr>
                        <w:r>
                          <w:rPr>
                            <w:rFonts w:ascii="Arial" w:hAnsi="Arial"/>
                            <w:sz w:val="22"/>
                          </w:rPr>
                          <w:t>β</w:t>
                        </w:r>
                        <w:r>
                          <w:rPr>
                            <w:sz w:val="22"/>
                          </w:rPr>
                          <w:t>=3.7 (p</w:t>
                        </w:r>
                        <w:r>
                          <w:rPr>
                            <w:sz w:val="22"/>
                            <w:vertAlign w:val="subscript"/>
                          </w:rPr>
                          <w:t>F</w:t>
                        </w:r>
                        <w:r>
                          <w:rPr>
                            <w:sz w:val="22"/>
                            <w:vertAlign w:val="baseline"/>
                          </w:rPr>
                          <w:t> </w:t>
                        </w:r>
                        <w:r>
                          <w:rPr>
                            <w:rFonts w:ascii="Arial" w:hAnsi="Arial"/>
                            <w:sz w:val="22"/>
                            <w:vertAlign w:val="baseline"/>
                          </w:rPr>
                          <w:t>≈ </w:t>
                        </w:r>
                        <w:r>
                          <w:rPr>
                            <w:sz w:val="22"/>
                            <w:vertAlign w:val="baseline"/>
                          </w:rPr>
                          <w:t>10</w:t>
                        </w:r>
                        <w:r>
                          <w:rPr>
                            <w:sz w:val="22"/>
                            <w:vertAlign w:val="superscript"/>
                          </w:rPr>
                          <w:t>-4</w:t>
                        </w:r>
                        <w:r>
                          <w:rPr>
                            <w:sz w:val="22"/>
                            <w:vertAlign w:val="baseline"/>
                          </w:rPr>
                          <w:t>)</w:t>
                        </w:r>
                      </w:p>
                    </w:tc>
                  </w:tr>
                  <w:tr>
                    <w:trPr>
                      <w:trHeight w:val="406" w:hRule="atLeast"/>
                    </w:trPr>
                    <w:tc>
                      <w:tcPr>
                        <w:tcW w:w="2117" w:type="dxa"/>
                      </w:tcPr>
                      <w:p>
                        <w:pPr>
                          <w:pStyle w:val="TableParagraph"/>
                          <w:ind w:left="528" w:right="512"/>
                          <w:rPr>
                            <w:sz w:val="22"/>
                          </w:rPr>
                        </w:pPr>
                        <w:r>
                          <w:rPr>
                            <w:sz w:val="22"/>
                          </w:rPr>
                          <w:t>Normal (B)</w:t>
                        </w:r>
                      </w:p>
                    </w:tc>
                    <w:tc>
                      <w:tcPr>
                        <w:tcW w:w="2064" w:type="dxa"/>
                      </w:tcPr>
                      <w:p>
                        <w:pPr>
                          <w:pStyle w:val="TableParagraph"/>
                          <w:spacing w:before="15"/>
                          <w:jc w:val="left"/>
                          <w:rPr>
                            <w:sz w:val="22"/>
                          </w:rPr>
                        </w:pPr>
                        <w:r>
                          <w:rPr>
                            <w:rFonts w:ascii="Arial" w:hAnsi="Arial"/>
                            <w:sz w:val="22"/>
                          </w:rPr>
                          <w:t>β</w:t>
                        </w:r>
                        <w:r>
                          <w:rPr>
                            <w:sz w:val="22"/>
                          </w:rPr>
                          <w:t>=3.7 (p</w:t>
                        </w:r>
                        <w:r>
                          <w:rPr>
                            <w:sz w:val="22"/>
                            <w:vertAlign w:val="subscript"/>
                          </w:rPr>
                          <w:t>F</w:t>
                        </w:r>
                        <w:r>
                          <w:rPr>
                            <w:rFonts w:ascii="Arial" w:hAnsi="Arial"/>
                            <w:sz w:val="22"/>
                            <w:vertAlign w:val="baseline"/>
                          </w:rPr>
                          <w:t>≈</w:t>
                        </w:r>
                        <w:r>
                          <w:rPr>
                            <w:sz w:val="22"/>
                            <w:vertAlign w:val="baseline"/>
                          </w:rPr>
                          <w:t>10</w:t>
                        </w:r>
                        <w:r>
                          <w:rPr>
                            <w:sz w:val="22"/>
                            <w:vertAlign w:val="superscript"/>
                          </w:rPr>
                          <w:t>-4</w:t>
                        </w:r>
                        <w:r>
                          <w:rPr>
                            <w:sz w:val="22"/>
                            <w:vertAlign w:val="baseline"/>
                          </w:rPr>
                          <w:t>)</w:t>
                        </w:r>
                      </w:p>
                    </w:tc>
                    <w:tc>
                      <w:tcPr>
                        <w:tcW w:w="2126" w:type="dxa"/>
                      </w:tcPr>
                      <w:p>
                        <w:pPr>
                          <w:pStyle w:val="TableParagraph"/>
                          <w:spacing w:before="15"/>
                          <w:jc w:val="left"/>
                          <w:rPr>
                            <w:sz w:val="22"/>
                          </w:rPr>
                        </w:pPr>
                        <w:r>
                          <w:rPr>
                            <w:rFonts w:ascii="Arial" w:hAnsi="Arial"/>
                            <w:sz w:val="22"/>
                          </w:rPr>
                          <w:t>β</w:t>
                        </w:r>
                        <w:r>
                          <w:rPr>
                            <w:sz w:val="22"/>
                          </w:rPr>
                          <w:t>=4.2 (p</w:t>
                        </w:r>
                        <w:r>
                          <w:rPr>
                            <w:sz w:val="22"/>
                            <w:vertAlign w:val="subscript"/>
                          </w:rPr>
                          <w:t>F</w:t>
                        </w:r>
                        <w:r>
                          <w:rPr>
                            <w:sz w:val="22"/>
                            <w:vertAlign w:val="baseline"/>
                          </w:rPr>
                          <w:t> </w:t>
                        </w:r>
                        <w:r>
                          <w:rPr>
                            <w:rFonts w:ascii="Arial" w:hAnsi="Arial"/>
                            <w:sz w:val="22"/>
                            <w:vertAlign w:val="baseline"/>
                          </w:rPr>
                          <w:t>≈ </w:t>
                        </w:r>
                        <w:r>
                          <w:rPr>
                            <w:sz w:val="22"/>
                            <w:vertAlign w:val="baseline"/>
                          </w:rPr>
                          <w:t>10</w:t>
                        </w:r>
                        <w:r>
                          <w:rPr>
                            <w:sz w:val="22"/>
                            <w:vertAlign w:val="superscript"/>
                          </w:rPr>
                          <w:t>-5</w:t>
                        </w:r>
                        <w:r>
                          <w:rPr>
                            <w:sz w:val="22"/>
                            <w:vertAlign w:val="baseline"/>
                          </w:rPr>
                          <w:t>)</w:t>
                        </w:r>
                      </w:p>
                    </w:tc>
                    <w:tc>
                      <w:tcPr>
                        <w:tcW w:w="2126" w:type="dxa"/>
                      </w:tcPr>
                      <w:p>
                        <w:pPr>
                          <w:pStyle w:val="TableParagraph"/>
                          <w:spacing w:before="15"/>
                          <w:ind w:left="181"/>
                          <w:jc w:val="left"/>
                          <w:rPr>
                            <w:sz w:val="22"/>
                          </w:rPr>
                        </w:pPr>
                        <w:r>
                          <w:rPr>
                            <w:rFonts w:ascii="Arial" w:hAnsi="Arial"/>
                            <w:sz w:val="22"/>
                          </w:rPr>
                          <w:t>β</w:t>
                        </w:r>
                        <w:r>
                          <w:rPr>
                            <w:sz w:val="22"/>
                          </w:rPr>
                          <w:t>=4.4 (p</w:t>
                        </w:r>
                        <w:r>
                          <w:rPr>
                            <w:sz w:val="22"/>
                            <w:vertAlign w:val="subscript"/>
                          </w:rPr>
                          <w:t>F</w:t>
                        </w:r>
                        <w:r>
                          <w:rPr>
                            <w:sz w:val="22"/>
                            <w:vertAlign w:val="baseline"/>
                          </w:rPr>
                          <w:t> </w:t>
                        </w:r>
                        <w:r>
                          <w:rPr>
                            <w:rFonts w:ascii="Arial" w:hAnsi="Arial"/>
                            <w:sz w:val="22"/>
                            <w:vertAlign w:val="baseline"/>
                          </w:rPr>
                          <w:t>≈ </w:t>
                        </w:r>
                        <w:r>
                          <w:rPr>
                            <w:sz w:val="22"/>
                            <w:vertAlign w:val="baseline"/>
                          </w:rPr>
                          <w:t>5 10</w:t>
                        </w:r>
                        <w:r>
                          <w:rPr>
                            <w:sz w:val="22"/>
                            <w:vertAlign w:val="superscript"/>
                          </w:rPr>
                          <w:t>-6</w:t>
                        </w:r>
                        <w:r>
                          <w:rPr>
                            <w:sz w:val="22"/>
                            <w:vertAlign w:val="baseline"/>
                          </w:rPr>
                          <w:t>)</w:t>
                        </w:r>
                      </w:p>
                    </w:tc>
                  </w:tr>
                  <w:tr>
                    <w:trPr>
                      <w:trHeight w:val="406" w:hRule="atLeast"/>
                    </w:trPr>
                    <w:tc>
                      <w:tcPr>
                        <w:tcW w:w="2117" w:type="dxa"/>
                      </w:tcPr>
                      <w:p>
                        <w:pPr>
                          <w:pStyle w:val="TableParagraph"/>
                          <w:ind w:left="528" w:right="511"/>
                          <w:rPr>
                            <w:sz w:val="22"/>
                          </w:rPr>
                        </w:pPr>
                        <w:r>
                          <w:rPr>
                            <w:sz w:val="22"/>
                          </w:rPr>
                          <w:t>Small (C)</w:t>
                        </w:r>
                      </w:p>
                    </w:tc>
                    <w:tc>
                      <w:tcPr>
                        <w:tcW w:w="2064" w:type="dxa"/>
                      </w:tcPr>
                      <w:p>
                        <w:pPr>
                          <w:pStyle w:val="TableParagraph"/>
                          <w:spacing w:before="15"/>
                          <w:jc w:val="left"/>
                          <w:rPr>
                            <w:sz w:val="22"/>
                          </w:rPr>
                        </w:pPr>
                        <w:r>
                          <w:rPr>
                            <w:rFonts w:ascii="Arial" w:hAnsi="Arial"/>
                            <w:sz w:val="22"/>
                          </w:rPr>
                          <w:t>β</w:t>
                        </w:r>
                        <w:r>
                          <w:rPr>
                            <w:sz w:val="22"/>
                          </w:rPr>
                          <w:t>=4.2 (p</w:t>
                        </w:r>
                        <w:r>
                          <w:rPr>
                            <w:sz w:val="22"/>
                            <w:vertAlign w:val="subscript"/>
                          </w:rPr>
                          <w:t>F</w:t>
                        </w:r>
                        <w:r>
                          <w:rPr>
                            <w:rFonts w:ascii="Arial" w:hAnsi="Arial"/>
                            <w:sz w:val="22"/>
                            <w:vertAlign w:val="baseline"/>
                          </w:rPr>
                          <w:t>≈</w:t>
                        </w:r>
                        <w:r>
                          <w:rPr>
                            <w:sz w:val="22"/>
                            <w:vertAlign w:val="baseline"/>
                          </w:rPr>
                          <w:t>10</w:t>
                        </w:r>
                        <w:r>
                          <w:rPr>
                            <w:sz w:val="22"/>
                            <w:vertAlign w:val="superscript"/>
                          </w:rPr>
                          <w:t>-5</w:t>
                        </w:r>
                        <w:r>
                          <w:rPr>
                            <w:sz w:val="22"/>
                            <w:vertAlign w:val="baseline"/>
                          </w:rPr>
                          <w:t>)</w:t>
                        </w:r>
                      </w:p>
                    </w:tc>
                    <w:tc>
                      <w:tcPr>
                        <w:tcW w:w="2126" w:type="dxa"/>
                      </w:tcPr>
                      <w:p>
                        <w:pPr>
                          <w:pStyle w:val="TableParagraph"/>
                          <w:spacing w:before="15"/>
                          <w:jc w:val="left"/>
                          <w:rPr>
                            <w:sz w:val="22"/>
                          </w:rPr>
                        </w:pPr>
                        <w:r>
                          <w:rPr>
                            <w:rFonts w:ascii="Arial" w:hAnsi="Arial"/>
                            <w:sz w:val="22"/>
                          </w:rPr>
                          <w:t>β</w:t>
                        </w:r>
                        <w:r>
                          <w:rPr>
                            <w:sz w:val="22"/>
                          </w:rPr>
                          <w:t>=4.4 (p</w:t>
                        </w:r>
                        <w:r>
                          <w:rPr>
                            <w:sz w:val="22"/>
                            <w:vertAlign w:val="subscript"/>
                          </w:rPr>
                          <w:t>F</w:t>
                        </w:r>
                        <w:r>
                          <w:rPr>
                            <w:sz w:val="22"/>
                            <w:vertAlign w:val="baseline"/>
                          </w:rPr>
                          <w:t> </w:t>
                        </w:r>
                        <w:r>
                          <w:rPr>
                            <w:rFonts w:ascii="Arial" w:hAnsi="Arial"/>
                            <w:sz w:val="22"/>
                            <w:vertAlign w:val="baseline"/>
                          </w:rPr>
                          <w:t>≈ </w:t>
                        </w:r>
                        <w:r>
                          <w:rPr>
                            <w:sz w:val="22"/>
                            <w:vertAlign w:val="baseline"/>
                          </w:rPr>
                          <w:t>5 10</w:t>
                        </w:r>
                        <w:r>
                          <w:rPr>
                            <w:sz w:val="22"/>
                            <w:vertAlign w:val="superscript"/>
                          </w:rPr>
                          <w:t>-6</w:t>
                        </w:r>
                        <w:r>
                          <w:rPr>
                            <w:sz w:val="22"/>
                            <w:vertAlign w:val="baseline"/>
                          </w:rPr>
                          <w:t>)</w:t>
                        </w:r>
                      </w:p>
                    </w:tc>
                    <w:tc>
                      <w:tcPr>
                        <w:tcW w:w="2126" w:type="dxa"/>
                      </w:tcPr>
                      <w:p>
                        <w:pPr>
                          <w:pStyle w:val="TableParagraph"/>
                          <w:spacing w:before="15"/>
                          <w:ind w:left="181"/>
                          <w:jc w:val="left"/>
                          <w:rPr>
                            <w:sz w:val="22"/>
                          </w:rPr>
                        </w:pPr>
                        <w:r>
                          <w:rPr>
                            <w:rFonts w:ascii="Arial" w:hAnsi="Arial"/>
                            <w:sz w:val="22"/>
                          </w:rPr>
                          <w:t>β</w:t>
                        </w:r>
                        <w:r>
                          <w:rPr>
                            <w:sz w:val="22"/>
                          </w:rPr>
                          <w:t>=4.7 (p</w:t>
                        </w:r>
                        <w:r>
                          <w:rPr>
                            <w:sz w:val="22"/>
                            <w:vertAlign w:val="subscript"/>
                          </w:rPr>
                          <w:t>F</w:t>
                        </w:r>
                        <w:r>
                          <w:rPr>
                            <w:sz w:val="22"/>
                            <w:vertAlign w:val="baseline"/>
                          </w:rPr>
                          <w:t> </w:t>
                        </w:r>
                        <w:r>
                          <w:rPr>
                            <w:rFonts w:ascii="Arial" w:hAnsi="Arial"/>
                            <w:sz w:val="22"/>
                            <w:vertAlign w:val="baseline"/>
                          </w:rPr>
                          <w:t>≈ </w:t>
                        </w:r>
                        <w:r>
                          <w:rPr>
                            <w:sz w:val="22"/>
                            <w:vertAlign w:val="baseline"/>
                          </w:rPr>
                          <w:t>10</w:t>
                        </w:r>
                        <w:r>
                          <w:rPr>
                            <w:sz w:val="22"/>
                            <w:vertAlign w:val="superscript"/>
                          </w:rPr>
                          <w:t>-6</w:t>
                        </w:r>
                        <w:r>
                          <w:rPr>
                            <w:sz w:val="22"/>
                            <w:vertAlign w:val="baseline"/>
                          </w:rPr>
                          <w:t>)</w:t>
                        </w:r>
                      </w:p>
                    </w:tc>
                  </w:tr>
                </w:tbl>
                <w:p>
                  <w:pPr>
                    <w:pStyle w:val="BodyText"/>
                  </w:pPr>
                </w:p>
              </w:txbxContent>
            </v:textbox>
            <w10:wrap type="none"/>
          </v:shape>
        </w:pict>
      </w:r>
      <w:r>
        <w:rPr/>
        <w:t>Table 1: Tentative target reliability indices </w:t>
      </w:r>
      <w:r>
        <w:rPr>
          <w:rFonts w:ascii="Arial" w:hAnsi="Arial"/>
        </w:rPr>
        <w:t>β </w:t>
      </w:r>
      <w:r>
        <w:rPr/>
        <w:t>(and associated target failure rates) related to one year reference period and ultimate limit states</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1"/>
        <w:rPr>
          <w:b/>
          <w:sz w:val="26"/>
        </w:rPr>
      </w:pPr>
      <w:r>
        <w:rPr/>
        <w:pict>
          <v:rect style="position:absolute;margin-left:279.959991pt;margin-top:16.960732pt;width:78.42pt;height:13.5pt;mso-position-horizontal-relative:page;mso-position-vertical-relative:paragraph;z-index:0;mso-wrap-distance-left:0;mso-wrap-distance-right:0" filled="true" fillcolor="#c0c0c0" stroked="false">
            <v:fill type="solid"/>
            <w10:wrap type="topAndBottom"/>
          </v:rect>
        </w:pic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3"/>
        <w:rPr>
          <w:b/>
          <w:sz w:val="23"/>
        </w:rPr>
      </w:pPr>
    </w:p>
    <w:p>
      <w:pPr>
        <w:pStyle w:val="BodyText"/>
        <w:spacing w:line="312" w:lineRule="auto"/>
        <w:ind w:left="177" w:right="408"/>
      </w:pPr>
      <w:r>
        <w:rPr/>
        <w:t>The shadowed value in Table 1 should be considered as the most common design situation. In order to make the right choice in this table the following guidelines may be of help:</w:t>
      </w:r>
    </w:p>
    <w:p>
      <w:pPr>
        <w:pStyle w:val="BodyText"/>
        <w:rPr>
          <w:sz w:val="26"/>
        </w:rPr>
      </w:pPr>
    </w:p>
    <w:p>
      <w:pPr>
        <w:pStyle w:val="BodyText"/>
        <w:rPr>
          <w:sz w:val="37"/>
        </w:rPr>
      </w:pPr>
    </w:p>
    <w:p>
      <w:pPr>
        <w:pStyle w:val="Heading2"/>
        <w:numPr>
          <w:ilvl w:val="0"/>
          <w:numId w:val="11"/>
        </w:numPr>
        <w:tabs>
          <w:tab w:pos="538" w:val="left" w:leader="none"/>
        </w:tabs>
        <w:spacing w:line="240" w:lineRule="auto" w:before="0" w:after="0"/>
        <w:ind w:left="537" w:right="0" w:hanging="360"/>
        <w:jc w:val="left"/>
      </w:pPr>
      <w:r>
        <w:rPr>
          <w:u w:val="thick"/>
        </w:rPr>
        <w:t>Consequence</w:t>
      </w:r>
      <w:r>
        <w:rPr>
          <w:spacing w:val="-2"/>
          <w:u w:val="thick"/>
        </w:rPr>
        <w:t> </w:t>
      </w:r>
      <w:r>
        <w:rPr>
          <w:u w:val="thick"/>
        </w:rPr>
        <w:t>classes</w:t>
      </w:r>
    </w:p>
    <w:p>
      <w:pPr>
        <w:pStyle w:val="BodyText"/>
        <w:spacing w:before="2"/>
        <w:rPr>
          <w:b/>
          <w:sz w:val="28"/>
        </w:rPr>
      </w:pPr>
    </w:p>
    <w:p>
      <w:pPr>
        <w:pStyle w:val="BodyText"/>
        <w:spacing w:line="312" w:lineRule="auto" w:before="116"/>
        <w:ind w:left="177"/>
      </w:pPr>
      <w:r>
        <w:rPr/>
        <w:t>A classification into consequenze classes is based on the ratio </w:t>
      </w:r>
      <w:r>
        <w:rPr>
          <w:rFonts w:ascii="Arial" w:hAnsi="Arial"/>
        </w:rPr>
        <w:t>ρ </w:t>
      </w:r>
      <w:r>
        <w:rPr/>
        <w:t>defined as the ratio between total costs (i.e. construction costs plus direct failure costs) and construction costs.</w:t>
      </w:r>
    </w:p>
    <w:p>
      <w:pPr>
        <w:pStyle w:val="BodyText"/>
        <w:spacing w:before="7"/>
        <w:rPr>
          <w:sz w:val="30"/>
        </w:rPr>
      </w:pPr>
    </w:p>
    <w:p>
      <w:pPr>
        <w:pStyle w:val="BodyText"/>
        <w:tabs>
          <w:tab w:pos="3723" w:val="left" w:leader="none"/>
        </w:tabs>
        <w:ind w:left="177"/>
      </w:pPr>
      <w:r>
        <w:rPr>
          <w:u w:val="single"/>
        </w:rPr>
        <w:t>Class 1 Minor Consequences:</w:t>
      </w:r>
      <w:r>
        <w:rPr/>
        <w:tab/>
      </w:r>
      <w:r>
        <w:rPr>
          <w:rFonts w:ascii="Arial" w:hAnsi="Arial"/>
          <w:i/>
          <w:sz w:val="25"/>
        </w:rPr>
        <w:t>ρ </w:t>
      </w:r>
      <w:r>
        <w:rPr/>
        <w:t>is less than approximately</w:t>
      </w:r>
      <w:r>
        <w:rPr>
          <w:spacing w:val="-21"/>
        </w:rPr>
        <w:t> </w:t>
      </w:r>
      <w:r>
        <w:rPr/>
        <w:t>2</w:t>
      </w:r>
    </w:p>
    <w:p>
      <w:pPr>
        <w:pStyle w:val="BodyText"/>
        <w:spacing w:line="312" w:lineRule="auto" w:before="83"/>
        <w:ind w:left="177"/>
      </w:pPr>
      <w:r>
        <w:rPr/>
        <w:t>Risk to life, given a failure, is small to negligible and economic consequences are small or negligible (e.g. agricultural structures, silos, masts);</w:t>
      </w:r>
    </w:p>
    <w:p>
      <w:pPr>
        <w:pStyle w:val="BodyText"/>
        <w:tabs>
          <w:tab w:pos="3723" w:val="left" w:leader="none"/>
        </w:tabs>
        <w:spacing w:line="280" w:lineRule="exact"/>
        <w:ind w:left="177"/>
      </w:pPr>
      <w:r>
        <w:rPr>
          <w:u w:val="single"/>
        </w:rPr>
        <w:t>Class 2 Moderate Consequences:</w:t>
      </w:r>
      <w:r>
        <w:rPr/>
        <w:tab/>
      </w:r>
      <w:r>
        <w:rPr>
          <w:rFonts w:ascii="Arial" w:hAnsi="Arial"/>
          <w:i/>
          <w:sz w:val="25"/>
        </w:rPr>
        <w:t>ρ </w:t>
      </w:r>
      <w:r>
        <w:rPr/>
        <w:t>is between 2 and</w:t>
      </w:r>
      <w:r>
        <w:rPr>
          <w:spacing w:val="-21"/>
        </w:rPr>
        <w:t> </w:t>
      </w:r>
      <w:r>
        <w:rPr/>
        <w:t>5.</w:t>
      </w:r>
    </w:p>
    <w:p>
      <w:pPr>
        <w:pStyle w:val="BodyText"/>
        <w:spacing w:line="312" w:lineRule="auto" w:before="83"/>
        <w:ind w:left="177" w:right="109"/>
      </w:pPr>
      <w:r>
        <w:rPr/>
        <w:t>Risk to life, given a failure, is medium or economic consequences are considerable (e.g. office buildings, industrial buildings, apartment buildings).</w:t>
      </w:r>
    </w:p>
    <w:p>
      <w:pPr>
        <w:pStyle w:val="BodyText"/>
        <w:tabs>
          <w:tab w:pos="3723" w:val="left" w:leader="none"/>
        </w:tabs>
        <w:spacing w:line="280" w:lineRule="exact"/>
        <w:ind w:left="177"/>
      </w:pPr>
      <w:r>
        <w:rPr>
          <w:u w:val="single"/>
        </w:rPr>
        <w:t>Class 3 Large Consequences:</w:t>
      </w:r>
      <w:r>
        <w:rPr/>
        <w:tab/>
      </w:r>
      <w:r>
        <w:rPr>
          <w:rFonts w:ascii="Arial" w:hAnsi="Arial"/>
          <w:i/>
          <w:sz w:val="25"/>
        </w:rPr>
        <w:t>ρ </w:t>
      </w:r>
      <w:r>
        <w:rPr/>
        <w:t>is between 5 and</w:t>
      </w:r>
      <w:r>
        <w:rPr>
          <w:spacing w:val="-21"/>
        </w:rPr>
        <w:t> </w:t>
      </w:r>
      <w:r>
        <w:rPr/>
        <w:t>10.</w:t>
      </w:r>
    </w:p>
    <w:p>
      <w:pPr>
        <w:pStyle w:val="BodyText"/>
        <w:spacing w:before="1"/>
        <w:rPr>
          <w:sz w:val="28"/>
        </w:rPr>
      </w:pPr>
    </w:p>
    <w:p>
      <w:pPr>
        <w:pStyle w:val="BodyText"/>
        <w:spacing w:line="312" w:lineRule="auto"/>
        <w:ind w:left="177"/>
      </w:pPr>
      <w:r>
        <w:rPr/>
        <w:t>Risk to life, given a failure, is high, or economic consequences are significant (e.g. main bridges, theaters, hospitals, high rise buildings).</w:t>
      </w:r>
    </w:p>
    <w:p>
      <w:pPr>
        <w:pStyle w:val="BodyText"/>
        <w:spacing w:before="7"/>
        <w:rPr>
          <w:sz w:val="30"/>
        </w:rPr>
      </w:pPr>
    </w:p>
    <w:p>
      <w:pPr>
        <w:pStyle w:val="BodyText"/>
        <w:spacing w:line="312" w:lineRule="auto"/>
        <w:ind w:left="177" w:right="109"/>
        <w:jc w:val="both"/>
      </w:pPr>
      <w:r>
        <w:rPr/>
        <w:t>If </w:t>
      </w:r>
      <w:r>
        <w:rPr>
          <w:rFonts w:ascii="Arial" w:hAnsi="Arial"/>
          <w:i/>
          <w:sz w:val="25"/>
        </w:rPr>
        <w:t>ρ </w:t>
      </w:r>
      <w:r>
        <w:rPr/>
        <w:t>is larger than 10 and the absolute value of </w:t>
      </w:r>
      <w:r>
        <w:rPr>
          <w:i/>
        </w:rPr>
        <w:t>H </w:t>
      </w:r>
      <w:r>
        <w:rPr/>
        <w:t>also is large, the consequences should be regarded as extreme and a full cost benefit analysis is recommended. The conclusion might be that the structure should not be build at all.</w:t>
      </w:r>
    </w:p>
    <w:p>
      <w:pPr>
        <w:spacing w:after="0" w:line="312" w:lineRule="auto"/>
        <w:jc w:val="both"/>
        <w:sectPr>
          <w:pgSz w:w="11910" w:h="16840"/>
          <w:pgMar w:header="0" w:footer="788" w:top="1460" w:bottom="980" w:left="1240" w:right="1300"/>
        </w:sectPr>
      </w:pPr>
    </w:p>
    <w:p>
      <w:pPr>
        <w:pStyle w:val="BodyText"/>
        <w:spacing w:line="312" w:lineRule="auto" w:before="62"/>
        <w:ind w:left="177"/>
      </w:pPr>
      <w:r>
        <w:rPr/>
        <w:t>One should be aware of the fact that failure consequences also depend on the type of failure, which can be classified according to:</w:t>
      </w:r>
    </w:p>
    <w:p>
      <w:pPr>
        <w:pStyle w:val="BodyText"/>
        <w:spacing w:before="5"/>
        <w:rPr>
          <w:sz w:val="31"/>
        </w:rPr>
      </w:pPr>
    </w:p>
    <w:p>
      <w:pPr>
        <w:pStyle w:val="ListParagraph"/>
        <w:numPr>
          <w:ilvl w:val="0"/>
          <w:numId w:val="12"/>
        </w:numPr>
        <w:tabs>
          <w:tab w:pos="538" w:val="left" w:leader="none"/>
        </w:tabs>
        <w:spacing w:line="240" w:lineRule="auto" w:before="1" w:after="0"/>
        <w:ind w:left="537" w:right="0" w:hanging="360"/>
        <w:jc w:val="left"/>
        <w:rPr>
          <w:sz w:val="24"/>
        </w:rPr>
      </w:pPr>
      <w:r>
        <w:rPr>
          <w:sz w:val="24"/>
        </w:rPr>
        <w:t>ductile failure with reserve strength capacity resulting from strain</w:t>
      </w:r>
      <w:r>
        <w:rPr>
          <w:spacing w:val="-3"/>
          <w:sz w:val="24"/>
        </w:rPr>
        <w:t> </w:t>
      </w:r>
      <w:r>
        <w:rPr>
          <w:sz w:val="24"/>
        </w:rPr>
        <w:t>hardening</w:t>
      </w:r>
    </w:p>
    <w:p>
      <w:pPr>
        <w:pStyle w:val="ListParagraph"/>
        <w:numPr>
          <w:ilvl w:val="0"/>
          <w:numId w:val="12"/>
        </w:numPr>
        <w:tabs>
          <w:tab w:pos="538" w:val="left" w:leader="none"/>
        </w:tabs>
        <w:spacing w:line="240" w:lineRule="auto" w:before="84" w:after="0"/>
        <w:ind w:left="537" w:right="0" w:hanging="360"/>
        <w:jc w:val="left"/>
        <w:rPr>
          <w:sz w:val="24"/>
        </w:rPr>
      </w:pPr>
      <w:r>
        <w:rPr>
          <w:sz w:val="24"/>
        </w:rPr>
        <w:t>ductile failure with no reserve</w:t>
      </w:r>
      <w:r>
        <w:rPr>
          <w:spacing w:val="-1"/>
          <w:sz w:val="24"/>
        </w:rPr>
        <w:t> </w:t>
      </w:r>
      <w:r>
        <w:rPr>
          <w:sz w:val="24"/>
        </w:rPr>
        <w:t>capacity</w:t>
      </w:r>
    </w:p>
    <w:p>
      <w:pPr>
        <w:pStyle w:val="ListParagraph"/>
        <w:numPr>
          <w:ilvl w:val="0"/>
          <w:numId w:val="12"/>
        </w:numPr>
        <w:tabs>
          <w:tab w:pos="538" w:val="left" w:leader="none"/>
        </w:tabs>
        <w:spacing w:line="240" w:lineRule="auto" w:before="84" w:after="0"/>
        <w:ind w:left="537" w:right="0" w:hanging="360"/>
        <w:jc w:val="left"/>
        <w:rPr>
          <w:sz w:val="24"/>
        </w:rPr>
      </w:pPr>
      <w:r>
        <w:rPr>
          <w:sz w:val="24"/>
        </w:rPr>
        <w:t>brittle</w:t>
      </w:r>
      <w:r>
        <w:rPr>
          <w:spacing w:val="-1"/>
          <w:sz w:val="24"/>
        </w:rPr>
        <w:t> </w:t>
      </w:r>
      <w:r>
        <w:rPr>
          <w:sz w:val="24"/>
        </w:rPr>
        <w:t>failure</w:t>
      </w:r>
    </w:p>
    <w:p>
      <w:pPr>
        <w:pStyle w:val="BodyText"/>
        <w:spacing w:before="7"/>
        <w:rPr>
          <w:sz w:val="38"/>
        </w:rPr>
      </w:pPr>
    </w:p>
    <w:p>
      <w:pPr>
        <w:pStyle w:val="BodyText"/>
        <w:spacing w:line="312" w:lineRule="auto"/>
        <w:ind w:left="177" w:right="111"/>
        <w:jc w:val="both"/>
      </w:pPr>
      <w:r>
        <w:rPr/>
        <w:t>Consequently a structural element which would be likely to collapse suddenly without warning should be designed for a higher level of reliability than one for which a collapse is preceded by some kind of warning which enables measures to be taken to avoid severe consequences.</w:t>
      </w:r>
    </w:p>
    <w:p>
      <w:pPr>
        <w:pStyle w:val="BodyText"/>
        <w:spacing w:line="312" w:lineRule="auto" w:before="5"/>
        <w:ind w:left="177" w:right="111"/>
        <w:jc w:val="both"/>
      </w:pPr>
      <w:r>
        <w:rPr/>
        <w:t>The values given relate to the structural system or in approximation to the dominant failure mode or structural component dominating system failure. Therefore, structures with multiple, equally important failure modes should be designed for a higher level of reliability.</w:t>
      </w:r>
    </w:p>
    <w:p>
      <w:pPr>
        <w:pStyle w:val="BodyText"/>
        <w:spacing w:before="8"/>
        <w:rPr>
          <w:sz w:val="31"/>
        </w:rPr>
      </w:pPr>
    </w:p>
    <w:p>
      <w:pPr>
        <w:pStyle w:val="Heading2"/>
        <w:numPr>
          <w:ilvl w:val="0"/>
          <w:numId w:val="11"/>
        </w:numPr>
        <w:tabs>
          <w:tab w:pos="538" w:val="left" w:leader="none"/>
        </w:tabs>
        <w:spacing w:line="240" w:lineRule="auto" w:before="0" w:after="0"/>
        <w:ind w:left="537" w:right="0" w:hanging="360"/>
        <w:jc w:val="both"/>
      </w:pPr>
      <w:r>
        <w:rPr>
          <w:u w:val="thick"/>
        </w:rPr>
        <w:t>Relative cost of safety measures classificaton</w:t>
      </w:r>
    </w:p>
    <w:p>
      <w:pPr>
        <w:pStyle w:val="BodyText"/>
        <w:spacing w:before="82"/>
        <w:ind w:left="177"/>
        <w:jc w:val="both"/>
      </w:pPr>
      <w:r>
        <w:rPr/>
        <w:t>The normal class (B) should be associated with:</w:t>
      </w:r>
    </w:p>
    <w:p>
      <w:pPr>
        <w:pStyle w:val="BodyText"/>
        <w:spacing w:before="6"/>
        <w:rPr>
          <w:sz w:val="38"/>
        </w:rPr>
      </w:pPr>
    </w:p>
    <w:p>
      <w:pPr>
        <w:pStyle w:val="ListParagraph"/>
        <w:numPr>
          <w:ilvl w:val="0"/>
          <w:numId w:val="8"/>
        </w:numPr>
        <w:tabs>
          <w:tab w:pos="538" w:val="left" w:leader="none"/>
        </w:tabs>
        <w:spacing w:line="240" w:lineRule="auto" w:before="0" w:after="0"/>
        <w:ind w:left="537" w:right="0" w:hanging="360"/>
        <w:jc w:val="both"/>
        <w:rPr>
          <w:sz w:val="24"/>
        </w:rPr>
      </w:pPr>
      <w:r>
        <w:rPr>
          <w:sz w:val="24"/>
        </w:rPr>
        <w:t>medium variabilities of the total loads and resistances (0.1 &lt; </w:t>
      </w:r>
      <w:r>
        <w:rPr>
          <w:i/>
          <w:sz w:val="24"/>
        </w:rPr>
        <w:t>V </w:t>
      </w:r>
      <w:r>
        <w:rPr>
          <w:sz w:val="24"/>
        </w:rPr>
        <w:t>&lt;</w:t>
      </w:r>
      <w:r>
        <w:rPr>
          <w:spacing w:val="-5"/>
          <w:sz w:val="24"/>
        </w:rPr>
        <w:t> </w:t>
      </w:r>
      <w:r>
        <w:rPr>
          <w:sz w:val="24"/>
        </w:rPr>
        <w:t>0.3),</w:t>
      </w:r>
    </w:p>
    <w:p>
      <w:pPr>
        <w:pStyle w:val="ListParagraph"/>
        <w:numPr>
          <w:ilvl w:val="0"/>
          <w:numId w:val="8"/>
        </w:numPr>
        <w:tabs>
          <w:tab w:pos="538" w:val="left" w:leader="none"/>
        </w:tabs>
        <w:spacing w:line="240" w:lineRule="auto" w:before="83" w:after="0"/>
        <w:ind w:left="537" w:right="0" w:hanging="360"/>
        <w:jc w:val="both"/>
        <w:rPr>
          <w:sz w:val="24"/>
        </w:rPr>
      </w:pPr>
      <w:r>
        <w:rPr>
          <w:sz w:val="24"/>
        </w:rPr>
        <w:t>relative cost of safety</w:t>
      </w:r>
      <w:r>
        <w:rPr>
          <w:spacing w:val="-1"/>
          <w:sz w:val="24"/>
        </w:rPr>
        <w:t> </w:t>
      </w:r>
      <w:r>
        <w:rPr>
          <w:sz w:val="24"/>
        </w:rPr>
        <w:t>measure</w:t>
      </w:r>
    </w:p>
    <w:p>
      <w:pPr>
        <w:pStyle w:val="ListParagraph"/>
        <w:numPr>
          <w:ilvl w:val="0"/>
          <w:numId w:val="8"/>
        </w:numPr>
        <w:tabs>
          <w:tab w:pos="537" w:val="left" w:leader="none"/>
          <w:tab w:pos="538" w:val="left" w:leader="none"/>
        </w:tabs>
        <w:spacing w:line="312" w:lineRule="auto" w:before="83" w:after="0"/>
        <w:ind w:left="537" w:right="263" w:hanging="360"/>
        <w:jc w:val="left"/>
        <w:rPr>
          <w:sz w:val="24"/>
        </w:rPr>
      </w:pPr>
      <w:r>
        <w:rPr>
          <w:sz w:val="24"/>
        </w:rPr>
        <w:t>normal design life and normal obsolesce rate composed to construction costs of the order of</w:t>
      </w:r>
      <w:r>
        <w:rPr>
          <w:spacing w:val="-2"/>
          <w:sz w:val="24"/>
        </w:rPr>
        <w:t> </w:t>
      </w:r>
      <w:r>
        <w:rPr>
          <w:sz w:val="24"/>
        </w:rPr>
        <w:t>3%</w:t>
      </w:r>
    </w:p>
    <w:p>
      <w:pPr>
        <w:pStyle w:val="BodyText"/>
        <w:spacing w:line="312" w:lineRule="auto" w:before="2"/>
        <w:ind w:left="177" w:right="112"/>
        <w:jc w:val="both"/>
      </w:pPr>
      <w:r>
        <w:rPr/>
        <w:t>The given values are for structures or structural elements as designed (not as built). Failures due to human error or ignorance and failures due to non-structural causes are not covered by table 1.</w:t>
      </w:r>
    </w:p>
    <w:p>
      <w:pPr>
        <w:pStyle w:val="BodyText"/>
        <w:spacing w:line="312" w:lineRule="auto" w:before="4"/>
        <w:ind w:left="177"/>
      </w:pPr>
      <w:r>
        <w:rPr/>
        <w:t>Values outside the given ranges may lead to a higher or lower classification. In particular attention may be given to the following aspects:</w:t>
      </w:r>
    </w:p>
    <w:p>
      <w:pPr>
        <w:pStyle w:val="BodyText"/>
        <w:spacing w:before="6"/>
        <w:rPr>
          <w:sz w:val="31"/>
        </w:rPr>
      </w:pPr>
    </w:p>
    <w:p>
      <w:pPr>
        <w:pStyle w:val="ListParagraph"/>
        <w:numPr>
          <w:ilvl w:val="0"/>
          <w:numId w:val="11"/>
        </w:numPr>
        <w:tabs>
          <w:tab w:pos="538" w:val="left" w:leader="none"/>
        </w:tabs>
        <w:spacing w:line="240" w:lineRule="auto" w:before="0" w:after="0"/>
        <w:ind w:left="537" w:right="0" w:hanging="360"/>
        <w:jc w:val="left"/>
        <w:rPr>
          <w:i/>
          <w:sz w:val="24"/>
        </w:rPr>
      </w:pPr>
      <w:r>
        <w:rPr>
          <w:i/>
          <w:sz w:val="24"/>
        </w:rPr>
        <w:t>Degree of Uncertainty</w:t>
      </w:r>
    </w:p>
    <w:p>
      <w:pPr>
        <w:pStyle w:val="BodyText"/>
        <w:spacing w:line="312" w:lineRule="auto" w:before="83"/>
        <w:ind w:left="177" w:right="110"/>
        <w:jc w:val="both"/>
      </w:pPr>
      <w:r>
        <w:rPr/>
        <w:t>A large uncertainty in either loading or resistance (coefficients of variation larger then 40 %), as for instance the case of many accidental and seismic situations, a lower reliability class should be used. The point is that for these large uncertainties the additional costs to achieve a high reliability are prohibitive. If on the other hand both acting and resisting variables have coefficients of variation smaller than 10%, like for most dead loads and well-known small resistance variability, a higher class can be achieved by very little effort and this should be done.</w:t>
      </w:r>
    </w:p>
    <w:p>
      <w:pPr>
        <w:pStyle w:val="ListParagraph"/>
        <w:numPr>
          <w:ilvl w:val="0"/>
          <w:numId w:val="11"/>
        </w:numPr>
        <w:tabs>
          <w:tab w:pos="538" w:val="left" w:leader="none"/>
        </w:tabs>
        <w:spacing w:line="240" w:lineRule="auto" w:before="7" w:after="0"/>
        <w:ind w:left="537" w:right="0" w:hanging="360"/>
        <w:jc w:val="both"/>
        <w:rPr>
          <w:i/>
          <w:sz w:val="24"/>
        </w:rPr>
      </w:pPr>
      <w:r>
        <w:rPr>
          <w:i/>
          <w:sz w:val="24"/>
        </w:rPr>
        <w:t>Quality assurance </w:t>
      </w:r>
      <w:r>
        <w:rPr>
          <w:sz w:val="24"/>
        </w:rPr>
        <w:t>and </w:t>
      </w:r>
      <w:r>
        <w:rPr>
          <w:i/>
          <w:sz w:val="24"/>
        </w:rPr>
        <w:t>inspections</w:t>
      </w:r>
    </w:p>
    <w:p>
      <w:pPr>
        <w:spacing w:after="0" w:line="240" w:lineRule="auto"/>
        <w:jc w:val="both"/>
        <w:rPr>
          <w:sz w:val="24"/>
        </w:rPr>
        <w:sectPr>
          <w:pgSz w:w="11910" w:h="16840"/>
          <w:pgMar w:header="0" w:footer="788" w:top="1460" w:bottom="980" w:left="1240" w:right="1300"/>
        </w:sectPr>
      </w:pPr>
    </w:p>
    <w:p>
      <w:pPr>
        <w:pStyle w:val="BodyText"/>
        <w:spacing w:line="312" w:lineRule="auto" w:before="62"/>
        <w:ind w:left="177" w:right="111"/>
        <w:jc w:val="both"/>
      </w:pPr>
      <w:r>
        <w:rPr/>
        <w:t>Quality assurance (for new structures) and inspections (for existing structures) have an increasing effect on costs. This will lead to a lower reliability class. On the other hand, due to QA and inspections the uncertainty will normally decrease and a higher class becomes economically more attractive. General rules are difficult to give.</w:t>
      </w:r>
    </w:p>
    <w:p>
      <w:pPr>
        <w:pStyle w:val="ListParagraph"/>
        <w:numPr>
          <w:ilvl w:val="0"/>
          <w:numId w:val="11"/>
        </w:numPr>
        <w:tabs>
          <w:tab w:pos="538" w:val="left" w:leader="none"/>
        </w:tabs>
        <w:spacing w:line="240" w:lineRule="auto" w:before="5" w:after="0"/>
        <w:ind w:left="537" w:right="0" w:hanging="360"/>
        <w:jc w:val="left"/>
        <w:rPr>
          <w:i/>
          <w:sz w:val="24"/>
        </w:rPr>
      </w:pPr>
      <w:r>
        <w:rPr>
          <w:i/>
          <w:sz w:val="24"/>
        </w:rPr>
        <w:t>Existing structures</w:t>
      </w:r>
    </w:p>
    <w:p>
      <w:pPr>
        <w:pStyle w:val="BodyText"/>
        <w:spacing w:line="312" w:lineRule="auto" w:before="83"/>
        <w:ind w:left="177" w:right="110"/>
        <w:jc w:val="both"/>
      </w:pPr>
      <w:r>
        <w:rPr/>
        <w:t>For existing structures the costs of achieving a higher reliability level are usually high compared to structures under design. For this reason the target level for existing structures usually should be lower.</w:t>
      </w:r>
    </w:p>
    <w:p>
      <w:pPr>
        <w:pStyle w:val="ListParagraph"/>
        <w:numPr>
          <w:ilvl w:val="0"/>
          <w:numId w:val="11"/>
        </w:numPr>
        <w:tabs>
          <w:tab w:pos="538" w:val="left" w:leader="none"/>
        </w:tabs>
        <w:spacing w:line="240" w:lineRule="auto" w:before="3" w:after="0"/>
        <w:ind w:left="537" w:right="0" w:hanging="360"/>
        <w:jc w:val="left"/>
        <w:rPr>
          <w:i/>
          <w:sz w:val="24"/>
        </w:rPr>
      </w:pPr>
      <w:r>
        <w:rPr>
          <w:i/>
          <w:sz w:val="24"/>
        </w:rPr>
        <w:t>Service life and/or obsolesce</w:t>
      </w:r>
    </w:p>
    <w:p>
      <w:pPr>
        <w:pStyle w:val="BodyText"/>
        <w:spacing w:line="312" w:lineRule="auto" w:before="83"/>
        <w:ind w:left="177" w:right="112"/>
        <w:jc w:val="both"/>
      </w:pPr>
      <w:r>
        <w:rPr/>
        <w:t>For structures designed for short service life or otherwise rapid obsolesce (say less than 10 years) the beta-values can be lowered by one or half a class.</w:t>
      </w:r>
    </w:p>
    <w:p>
      <w:pPr>
        <w:pStyle w:val="BodyText"/>
        <w:spacing w:before="6"/>
        <w:rPr>
          <w:sz w:val="31"/>
        </w:rPr>
      </w:pPr>
    </w:p>
    <w:p>
      <w:pPr>
        <w:pStyle w:val="BodyText"/>
        <w:spacing w:line="312" w:lineRule="auto"/>
        <w:ind w:left="177" w:right="112"/>
        <w:jc w:val="both"/>
      </w:pPr>
      <w:r>
        <w:rPr/>
        <w:t>By definition serviceability failures are not associated with loss of human life or limb. For existing structures the demand will be more related to the actual situation in performance and use. No general rules are given in this document.</w:t>
      </w:r>
    </w:p>
    <w:p>
      <w:pPr>
        <w:pStyle w:val="BodyText"/>
        <w:rPr>
          <w:sz w:val="26"/>
        </w:rPr>
      </w:pPr>
    </w:p>
    <w:p>
      <w:pPr>
        <w:pStyle w:val="BodyText"/>
        <w:spacing w:before="6"/>
        <w:rPr>
          <w:sz w:val="26"/>
        </w:rPr>
      </w:pPr>
    </w:p>
    <w:p>
      <w:pPr>
        <w:pStyle w:val="ListParagraph"/>
        <w:numPr>
          <w:ilvl w:val="2"/>
          <w:numId w:val="10"/>
        </w:numPr>
        <w:tabs>
          <w:tab w:pos="1085" w:val="left" w:leader="none"/>
        </w:tabs>
        <w:spacing w:line="240" w:lineRule="auto" w:before="0" w:after="0"/>
        <w:ind w:left="1084" w:right="0" w:hanging="907"/>
        <w:jc w:val="both"/>
        <w:rPr>
          <w:sz w:val="24"/>
        </w:rPr>
      </w:pPr>
      <w:r>
        <w:rPr>
          <w:sz w:val="24"/>
          <w:u w:val="single"/>
        </w:rPr>
        <w:t>Serviceability Limit</w:t>
      </w:r>
      <w:r>
        <w:rPr>
          <w:spacing w:val="-1"/>
          <w:sz w:val="24"/>
          <w:u w:val="single"/>
        </w:rPr>
        <w:t> </w:t>
      </w:r>
      <w:r>
        <w:rPr>
          <w:sz w:val="24"/>
          <w:u w:val="single"/>
        </w:rPr>
        <w:t>State</w:t>
      </w:r>
    </w:p>
    <w:p>
      <w:pPr>
        <w:pStyle w:val="BodyText"/>
        <w:spacing w:before="4"/>
        <w:rPr>
          <w:sz w:val="20"/>
        </w:rPr>
      </w:pPr>
    </w:p>
    <w:p>
      <w:pPr>
        <w:pStyle w:val="BodyText"/>
        <w:spacing w:line="312" w:lineRule="auto" w:before="90"/>
        <w:ind w:left="177" w:right="112"/>
        <w:jc w:val="both"/>
      </w:pPr>
      <w:r>
        <w:rPr/>
        <w:t>When setting target values for serviceability limit states (SLS) it is important to distinguish between irreversible and reversible serviceability limit states. Target values for SLS can be derived based on decision analysis methods.</w:t>
      </w:r>
    </w:p>
    <w:p>
      <w:pPr>
        <w:pStyle w:val="BodyText"/>
        <w:spacing w:before="7"/>
        <w:rPr>
          <w:sz w:val="31"/>
        </w:rPr>
      </w:pPr>
    </w:p>
    <w:p>
      <w:pPr>
        <w:pStyle w:val="BodyText"/>
        <w:spacing w:line="312" w:lineRule="auto"/>
        <w:ind w:left="177" w:right="111"/>
        <w:jc w:val="both"/>
      </w:pPr>
      <w:r>
        <w:rPr/>
        <w:t>For irreversible serviceability limit states tentative target values are given in Table 2. A variation from the target serviceability indexes of the order of 0.3 can be considered. For reversible serviceability limit states no general values are given.</w:t>
      </w:r>
    </w:p>
    <w:p>
      <w:pPr>
        <w:pStyle w:val="BodyText"/>
        <w:spacing w:before="10"/>
        <w:rPr>
          <w:sz w:val="31"/>
        </w:rPr>
      </w:pPr>
    </w:p>
    <w:p>
      <w:pPr>
        <w:pStyle w:val="Heading2"/>
        <w:tabs>
          <w:tab w:pos="1311" w:val="left" w:leader="none"/>
        </w:tabs>
        <w:spacing w:line="312" w:lineRule="auto"/>
        <w:ind w:left="1311" w:right="191" w:hanging="1134"/>
      </w:pPr>
      <w:r>
        <w:rPr/>
        <w:pict>
          <v:shape style="position:absolute;margin-left:70.080002pt;margin-top:31.783417pt;width:284.45pt;height:77.4pt;mso-position-horizontal-relative:page;mso-position-vertical-relative:paragraph;z-index:1072"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3352"/>
                    <w:gridCol w:w="2291"/>
                  </w:tblGrid>
                  <w:tr>
                    <w:trPr>
                      <w:trHeight w:val="558" w:hRule="atLeast"/>
                    </w:trPr>
                    <w:tc>
                      <w:tcPr>
                        <w:tcW w:w="3352" w:type="dxa"/>
                        <w:tcBorders>
                          <w:bottom w:val="single" w:sz="6" w:space="0" w:color="000000"/>
                          <w:right w:val="single" w:sz="6" w:space="0" w:color="000000"/>
                        </w:tcBorders>
                      </w:tcPr>
                      <w:p>
                        <w:pPr>
                          <w:pStyle w:val="TableParagraph"/>
                          <w:spacing w:before="1"/>
                          <w:ind w:left="97" w:right="73"/>
                          <w:rPr>
                            <w:sz w:val="24"/>
                          </w:rPr>
                        </w:pPr>
                        <w:r>
                          <w:rPr>
                            <w:sz w:val="24"/>
                          </w:rPr>
                          <w:t>Relative Cost of Safety Measure</w:t>
                        </w:r>
                      </w:p>
                    </w:tc>
                    <w:tc>
                      <w:tcPr>
                        <w:tcW w:w="2291" w:type="dxa"/>
                        <w:tcBorders>
                          <w:left w:val="single" w:sz="6" w:space="0" w:color="000000"/>
                          <w:bottom w:val="single" w:sz="6" w:space="0" w:color="000000"/>
                        </w:tcBorders>
                      </w:tcPr>
                      <w:p>
                        <w:pPr>
                          <w:pStyle w:val="TableParagraph"/>
                          <w:spacing w:line="280" w:lineRule="exact" w:before="1"/>
                          <w:ind w:left="288" w:right="234" w:firstLine="248"/>
                          <w:jc w:val="left"/>
                          <w:rPr>
                            <w:sz w:val="24"/>
                          </w:rPr>
                        </w:pPr>
                        <w:r>
                          <w:rPr>
                            <w:sz w:val="24"/>
                          </w:rPr>
                          <w:t>Target Index (irreversible SLS)</w:t>
                        </w:r>
                      </w:p>
                    </w:tc>
                  </w:tr>
                  <w:tr>
                    <w:trPr>
                      <w:trHeight w:val="292" w:hRule="atLeast"/>
                    </w:trPr>
                    <w:tc>
                      <w:tcPr>
                        <w:tcW w:w="3352" w:type="dxa"/>
                        <w:tcBorders>
                          <w:top w:val="single" w:sz="6" w:space="0" w:color="000000"/>
                          <w:bottom w:val="single" w:sz="6" w:space="0" w:color="000000"/>
                          <w:right w:val="single" w:sz="6" w:space="0" w:color="000000"/>
                        </w:tcBorders>
                      </w:tcPr>
                      <w:p>
                        <w:pPr>
                          <w:pStyle w:val="TableParagraph"/>
                          <w:spacing w:line="272" w:lineRule="exact"/>
                          <w:ind w:left="97" w:right="73"/>
                          <w:rPr>
                            <w:sz w:val="24"/>
                          </w:rPr>
                        </w:pPr>
                        <w:r>
                          <w:rPr>
                            <w:sz w:val="24"/>
                          </w:rPr>
                          <w:t>High</w:t>
                        </w:r>
                      </w:p>
                    </w:tc>
                    <w:tc>
                      <w:tcPr>
                        <w:tcW w:w="2291" w:type="dxa"/>
                        <w:tcBorders>
                          <w:top w:val="single" w:sz="6" w:space="0" w:color="000000"/>
                          <w:left w:val="single" w:sz="6" w:space="0" w:color="000000"/>
                          <w:bottom w:val="single" w:sz="6" w:space="0" w:color="000000"/>
                        </w:tcBorders>
                      </w:tcPr>
                      <w:p>
                        <w:pPr>
                          <w:pStyle w:val="TableParagraph"/>
                          <w:spacing w:line="258" w:lineRule="exact" w:before="15"/>
                          <w:ind w:left="307" w:right="268"/>
                          <w:rPr>
                            <w:b/>
                            <w:sz w:val="24"/>
                          </w:rPr>
                        </w:pPr>
                        <w:r>
                          <w:rPr>
                            <w:rFonts w:ascii="Arial" w:hAnsi="Arial"/>
                            <w:b/>
                            <w:sz w:val="24"/>
                          </w:rPr>
                          <w:t>β</w:t>
                        </w:r>
                        <w:r>
                          <w:rPr>
                            <w:b/>
                            <w:sz w:val="24"/>
                          </w:rPr>
                          <w:t>=1.3(p</w:t>
                        </w:r>
                        <w:r>
                          <w:rPr>
                            <w:b/>
                            <w:sz w:val="24"/>
                            <w:vertAlign w:val="subscript"/>
                          </w:rPr>
                          <w:t>F</w:t>
                        </w:r>
                        <w:r>
                          <w:rPr>
                            <w:rFonts w:ascii="Arial" w:hAnsi="Arial"/>
                            <w:b/>
                            <w:sz w:val="24"/>
                            <w:vertAlign w:val="baseline"/>
                          </w:rPr>
                          <w:t>≈</w:t>
                        </w:r>
                        <w:r>
                          <w:rPr>
                            <w:b/>
                            <w:sz w:val="24"/>
                            <w:vertAlign w:val="baseline"/>
                          </w:rPr>
                          <w:t>10</w:t>
                        </w:r>
                        <w:r>
                          <w:rPr>
                            <w:b/>
                            <w:sz w:val="24"/>
                            <w:vertAlign w:val="superscript"/>
                          </w:rPr>
                          <w:t>-1</w:t>
                        </w:r>
                        <w:r>
                          <w:rPr>
                            <w:b/>
                            <w:sz w:val="24"/>
                            <w:vertAlign w:val="baseline"/>
                          </w:rPr>
                          <w:t>)</w:t>
                        </w:r>
                      </w:p>
                    </w:tc>
                  </w:tr>
                  <w:tr>
                    <w:trPr>
                      <w:trHeight w:val="294" w:hRule="atLeast"/>
                    </w:trPr>
                    <w:tc>
                      <w:tcPr>
                        <w:tcW w:w="3352" w:type="dxa"/>
                        <w:tcBorders>
                          <w:top w:val="single" w:sz="6" w:space="0" w:color="000000"/>
                          <w:bottom w:val="single" w:sz="6" w:space="0" w:color="000000"/>
                          <w:right w:val="single" w:sz="6" w:space="0" w:color="000000"/>
                        </w:tcBorders>
                      </w:tcPr>
                      <w:p>
                        <w:pPr>
                          <w:pStyle w:val="TableParagraph"/>
                          <w:spacing w:line="272" w:lineRule="exact" w:before="2"/>
                          <w:ind w:left="97" w:right="73"/>
                          <w:rPr>
                            <w:sz w:val="24"/>
                          </w:rPr>
                        </w:pPr>
                        <w:r>
                          <w:rPr>
                            <w:sz w:val="24"/>
                          </w:rPr>
                          <w:t>Normal</w:t>
                        </w:r>
                      </w:p>
                    </w:tc>
                    <w:tc>
                      <w:tcPr>
                        <w:tcW w:w="2291" w:type="dxa"/>
                        <w:tcBorders>
                          <w:top w:val="single" w:sz="6" w:space="0" w:color="000000"/>
                          <w:left w:val="single" w:sz="6" w:space="0" w:color="000000"/>
                          <w:bottom w:val="single" w:sz="6" w:space="0" w:color="000000"/>
                        </w:tcBorders>
                      </w:tcPr>
                      <w:p>
                        <w:pPr>
                          <w:pStyle w:val="TableParagraph"/>
                          <w:spacing w:line="258" w:lineRule="exact" w:before="17"/>
                          <w:ind w:left="307" w:right="268"/>
                          <w:rPr>
                            <w:b/>
                            <w:sz w:val="24"/>
                          </w:rPr>
                        </w:pPr>
                        <w:r>
                          <w:rPr>
                            <w:rFonts w:ascii="Arial" w:hAnsi="Arial"/>
                            <w:b/>
                            <w:sz w:val="24"/>
                          </w:rPr>
                          <w:t>β</w:t>
                        </w:r>
                        <w:r>
                          <w:rPr>
                            <w:b/>
                            <w:sz w:val="24"/>
                          </w:rPr>
                          <w:t>=1.7(p</w:t>
                        </w:r>
                        <w:r>
                          <w:rPr>
                            <w:b/>
                            <w:sz w:val="24"/>
                            <w:vertAlign w:val="subscript"/>
                          </w:rPr>
                          <w:t>F</w:t>
                        </w:r>
                        <w:r>
                          <w:rPr>
                            <w:rFonts w:ascii="Arial" w:hAnsi="Arial"/>
                            <w:b/>
                            <w:sz w:val="24"/>
                            <w:vertAlign w:val="baseline"/>
                          </w:rPr>
                          <w:t>≈</w:t>
                        </w:r>
                        <w:r>
                          <w:rPr>
                            <w:b/>
                            <w:sz w:val="24"/>
                            <w:vertAlign w:val="baseline"/>
                          </w:rPr>
                          <w:t>5 10</w:t>
                        </w:r>
                        <w:r>
                          <w:rPr>
                            <w:b/>
                            <w:sz w:val="24"/>
                            <w:vertAlign w:val="superscript"/>
                          </w:rPr>
                          <w:t>-2</w:t>
                        </w:r>
                        <w:r>
                          <w:rPr>
                            <w:b/>
                            <w:sz w:val="24"/>
                            <w:vertAlign w:val="baseline"/>
                          </w:rPr>
                          <w:t>)</w:t>
                        </w:r>
                      </w:p>
                    </w:tc>
                  </w:tr>
                  <w:tr>
                    <w:trPr>
                      <w:trHeight w:val="294" w:hRule="atLeast"/>
                    </w:trPr>
                    <w:tc>
                      <w:tcPr>
                        <w:tcW w:w="3352" w:type="dxa"/>
                        <w:tcBorders>
                          <w:top w:val="single" w:sz="6" w:space="0" w:color="000000"/>
                          <w:right w:val="single" w:sz="6" w:space="0" w:color="000000"/>
                        </w:tcBorders>
                      </w:tcPr>
                      <w:p>
                        <w:pPr>
                          <w:pStyle w:val="TableParagraph"/>
                          <w:spacing w:line="272" w:lineRule="exact" w:before="2"/>
                          <w:ind w:left="97" w:right="73"/>
                          <w:rPr>
                            <w:sz w:val="24"/>
                          </w:rPr>
                        </w:pPr>
                        <w:r>
                          <w:rPr>
                            <w:sz w:val="24"/>
                          </w:rPr>
                          <w:t>Low</w:t>
                        </w:r>
                      </w:p>
                    </w:tc>
                    <w:tc>
                      <w:tcPr>
                        <w:tcW w:w="2291" w:type="dxa"/>
                        <w:tcBorders>
                          <w:top w:val="single" w:sz="6" w:space="0" w:color="000000"/>
                          <w:left w:val="single" w:sz="6" w:space="0" w:color="000000"/>
                        </w:tcBorders>
                      </w:tcPr>
                      <w:p>
                        <w:pPr>
                          <w:pStyle w:val="TableParagraph"/>
                          <w:spacing w:line="258" w:lineRule="exact" w:before="17"/>
                          <w:ind w:left="307" w:right="268"/>
                          <w:rPr>
                            <w:b/>
                            <w:sz w:val="24"/>
                          </w:rPr>
                        </w:pPr>
                        <w:r>
                          <w:rPr>
                            <w:rFonts w:ascii="Arial" w:hAnsi="Arial"/>
                            <w:b/>
                            <w:sz w:val="24"/>
                          </w:rPr>
                          <w:t>β</w:t>
                        </w:r>
                        <w:r>
                          <w:rPr>
                            <w:b/>
                            <w:sz w:val="24"/>
                          </w:rPr>
                          <w:t>=2.3(p</w:t>
                        </w:r>
                        <w:r>
                          <w:rPr>
                            <w:b/>
                            <w:sz w:val="24"/>
                            <w:vertAlign w:val="subscript"/>
                          </w:rPr>
                          <w:t>F</w:t>
                        </w:r>
                        <w:r>
                          <w:rPr>
                            <w:rFonts w:ascii="Arial" w:hAnsi="Arial"/>
                            <w:b/>
                            <w:sz w:val="24"/>
                            <w:vertAlign w:val="baseline"/>
                          </w:rPr>
                          <w:t>≈</w:t>
                        </w:r>
                        <w:r>
                          <w:rPr>
                            <w:b/>
                            <w:sz w:val="24"/>
                            <w:vertAlign w:val="baseline"/>
                          </w:rPr>
                          <w:t>10</w:t>
                        </w:r>
                        <w:r>
                          <w:rPr>
                            <w:b/>
                            <w:sz w:val="24"/>
                            <w:vertAlign w:val="superscript"/>
                          </w:rPr>
                          <w:t>-2</w:t>
                        </w:r>
                        <w:r>
                          <w:rPr>
                            <w:b/>
                            <w:sz w:val="24"/>
                            <w:vertAlign w:val="baseline"/>
                          </w:rPr>
                          <w:t>)</w:t>
                        </w:r>
                      </w:p>
                    </w:tc>
                  </w:tr>
                </w:tbl>
                <w:p>
                  <w:pPr>
                    <w:pStyle w:val="BodyText"/>
                  </w:pPr>
                </w:p>
              </w:txbxContent>
            </v:textbox>
            <w10:wrap type="none"/>
          </v:shape>
        </w:pict>
      </w:r>
      <w:r>
        <w:rPr/>
        <w:t>Table 2:</w:t>
        <w:tab/>
        <w:t>Tentative target reliability indices (and associated probabilities) related to one year reference period and irreversible serviceability limit states</w:t>
      </w:r>
    </w:p>
    <w:p>
      <w:pPr>
        <w:spacing w:after="0" w:line="312" w:lineRule="auto"/>
        <w:sectPr>
          <w:pgSz w:w="11910" w:h="16840"/>
          <w:pgMar w:header="0" w:footer="788" w:top="1460" w:bottom="980" w:left="1240" w:right="1300"/>
        </w:sectPr>
      </w:pPr>
    </w:p>
    <w:p>
      <w:pPr>
        <w:pStyle w:val="BodyText"/>
        <w:rPr>
          <w:b/>
          <w:sz w:val="20"/>
        </w:rPr>
      </w:pPr>
    </w:p>
    <w:p>
      <w:pPr>
        <w:pStyle w:val="BodyText"/>
        <w:rPr>
          <w:b/>
          <w:sz w:val="23"/>
        </w:rPr>
      </w:pPr>
    </w:p>
    <w:p>
      <w:pPr>
        <w:pStyle w:val="Heading2"/>
        <w:numPr>
          <w:ilvl w:val="0"/>
          <w:numId w:val="2"/>
        </w:numPr>
        <w:tabs>
          <w:tab w:pos="538" w:val="left" w:leader="none"/>
        </w:tabs>
        <w:spacing w:line="240" w:lineRule="auto" w:before="90" w:after="0"/>
        <w:ind w:left="537" w:right="0" w:hanging="360"/>
        <w:jc w:val="left"/>
      </w:pPr>
      <w:bookmarkStart w:name="_TOC_250021" w:id="29"/>
      <w:r>
        <w:rPr/>
        <w:t>Annex A: The Robustness</w:t>
      </w:r>
      <w:r>
        <w:rPr>
          <w:spacing w:val="-5"/>
        </w:rPr>
        <w:t> </w:t>
      </w:r>
      <w:bookmarkEnd w:id="29"/>
      <w:r>
        <w:rPr/>
        <w:t>Requirement</w:t>
      </w:r>
    </w:p>
    <w:p>
      <w:pPr>
        <w:pStyle w:val="Heading2"/>
        <w:numPr>
          <w:ilvl w:val="1"/>
          <w:numId w:val="2"/>
        </w:numPr>
        <w:tabs>
          <w:tab w:pos="1084" w:val="left" w:leader="none"/>
          <w:tab w:pos="1085" w:val="left" w:leader="none"/>
        </w:tabs>
        <w:spacing w:line="240" w:lineRule="auto" w:before="124" w:after="0"/>
        <w:ind w:left="1084" w:right="0" w:hanging="907"/>
        <w:jc w:val="left"/>
      </w:pPr>
      <w:bookmarkStart w:name="_TOC_250020" w:id="30"/>
      <w:bookmarkEnd w:id="30"/>
      <w:r>
        <w:rPr/>
        <w:t>Introduction</w:t>
      </w:r>
    </w:p>
    <w:p>
      <w:pPr>
        <w:pStyle w:val="BodyText"/>
        <w:spacing w:before="202"/>
        <w:ind w:left="177"/>
      </w:pPr>
      <w:r>
        <w:rPr/>
        <w:t>In clause 3.1 the following robustment requirement has been formulated:</w:t>
      </w:r>
    </w:p>
    <w:p>
      <w:pPr>
        <w:pStyle w:val="BodyText"/>
        <w:spacing w:before="8"/>
        <w:rPr>
          <w:sz w:val="38"/>
        </w:rPr>
      </w:pPr>
    </w:p>
    <w:p>
      <w:pPr>
        <w:spacing w:line="312" w:lineRule="auto" w:before="0"/>
        <w:ind w:left="657" w:right="111" w:firstLine="0"/>
        <w:jc w:val="both"/>
        <w:rPr>
          <w:i/>
          <w:sz w:val="24"/>
        </w:rPr>
      </w:pPr>
      <w:r>
        <w:rPr>
          <w:i/>
          <w:sz w:val="24"/>
        </w:rPr>
        <w:t>“A </w:t>
      </w:r>
      <w:r>
        <w:rPr>
          <w:i/>
          <w:spacing w:val="-3"/>
          <w:sz w:val="24"/>
        </w:rPr>
        <w:t>structure shall </w:t>
      </w:r>
      <w:r>
        <w:rPr>
          <w:i/>
          <w:sz w:val="24"/>
        </w:rPr>
        <w:t>not be </w:t>
      </w:r>
      <w:r>
        <w:rPr>
          <w:i/>
          <w:spacing w:val="-3"/>
          <w:sz w:val="24"/>
        </w:rPr>
        <w:t>damaged </w:t>
      </w:r>
      <w:r>
        <w:rPr>
          <w:i/>
          <w:sz w:val="24"/>
        </w:rPr>
        <w:t>by </w:t>
      </w:r>
      <w:r>
        <w:rPr>
          <w:i/>
          <w:spacing w:val="-3"/>
          <w:sz w:val="24"/>
        </w:rPr>
        <w:t>events like fire explosions </w:t>
      </w:r>
      <w:r>
        <w:rPr>
          <w:i/>
          <w:sz w:val="24"/>
        </w:rPr>
        <w:t>or </w:t>
      </w:r>
      <w:r>
        <w:rPr>
          <w:i/>
          <w:spacing w:val="-3"/>
          <w:sz w:val="24"/>
        </w:rPr>
        <w:t>consequences </w:t>
      </w:r>
      <w:r>
        <w:rPr>
          <w:i/>
          <w:sz w:val="24"/>
        </w:rPr>
        <w:t>of </w:t>
      </w:r>
      <w:r>
        <w:rPr>
          <w:i/>
          <w:spacing w:val="-3"/>
          <w:sz w:val="24"/>
        </w:rPr>
        <w:t>human errors, deterioration effects, etc. </w:t>
      </w:r>
      <w:r>
        <w:rPr>
          <w:i/>
          <w:sz w:val="24"/>
        </w:rPr>
        <w:t>to an </w:t>
      </w:r>
      <w:r>
        <w:rPr>
          <w:i/>
          <w:spacing w:val="-3"/>
          <w:sz w:val="24"/>
        </w:rPr>
        <w:t>extend disproportionate </w:t>
      </w:r>
      <w:r>
        <w:rPr>
          <w:i/>
          <w:sz w:val="24"/>
        </w:rPr>
        <w:t>to the </w:t>
      </w:r>
      <w:r>
        <w:rPr>
          <w:i/>
          <w:spacing w:val="-3"/>
          <w:sz w:val="24"/>
        </w:rPr>
        <w:t>severeness </w:t>
      </w:r>
      <w:r>
        <w:rPr>
          <w:i/>
          <w:sz w:val="24"/>
        </w:rPr>
        <w:t>of </w:t>
      </w:r>
      <w:r>
        <w:rPr>
          <w:i/>
          <w:spacing w:val="-3"/>
          <w:sz w:val="24"/>
        </w:rPr>
        <w:t>the triggering event”.</w:t>
      </w:r>
    </w:p>
    <w:p>
      <w:pPr>
        <w:pStyle w:val="BodyText"/>
        <w:spacing w:before="6"/>
        <w:rPr>
          <w:i/>
          <w:sz w:val="31"/>
        </w:rPr>
      </w:pPr>
    </w:p>
    <w:p>
      <w:pPr>
        <w:pStyle w:val="BodyText"/>
        <w:spacing w:line="312" w:lineRule="auto"/>
        <w:ind w:left="177" w:right="111"/>
        <w:jc w:val="both"/>
      </w:pPr>
      <w:r>
        <w:rPr/>
        <w:t>This annex is intended to give some further guidance. No attention is being paid to terrorist actions and actions of war. The general idea is that, whatever the design, proper destructive actions can always be succesful.</w:t>
      </w:r>
    </w:p>
    <w:p>
      <w:pPr>
        <w:pStyle w:val="BodyText"/>
        <w:rPr>
          <w:sz w:val="26"/>
        </w:rPr>
      </w:pPr>
    </w:p>
    <w:p>
      <w:pPr>
        <w:pStyle w:val="Heading2"/>
        <w:numPr>
          <w:ilvl w:val="1"/>
          <w:numId w:val="2"/>
        </w:numPr>
        <w:tabs>
          <w:tab w:pos="1084" w:val="left" w:leader="none"/>
          <w:tab w:pos="1085" w:val="left" w:leader="none"/>
        </w:tabs>
        <w:spacing w:line="240" w:lineRule="auto" w:before="187" w:after="0"/>
        <w:ind w:left="1084" w:right="0" w:hanging="907"/>
        <w:jc w:val="left"/>
      </w:pPr>
      <w:bookmarkStart w:name="_TOC_250019" w:id="31"/>
      <w:bookmarkEnd w:id="31"/>
      <w:r>
        <w:rPr/>
        <w:t>Structural and nonstructural measures</w:t>
      </w:r>
    </w:p>
    <w:p>
      <w:pPr>
        <w:pStyle w:val="BodyText"/>
        <w:spacing w:line="312" w:lineRule="auto" w:before="202"/>
        <w:ind w:left="177" w:right="112"/>
        <w:jc w:val="both"/>
      </w:pPr>
      <w:r>
        <w:rPr/>
        <w:t>In </w:t>
      </w:r>
      <w:r>
        <w:rPr>
          <w:spacing w:val="-3"/>
        </w:rPr>
        <w:t>order </w:t>
      </w:r>
      <w:r>
        <w:rPr/>
        <w:t>to </w:t>
      </w:r>
      <w:r>
        <w:rPr>
          <w:spacing w:val="-3"/>
        </w:rPr>
        <w:t>attain adequate safety </w:t>
      </w:r>
      <w:r>
        <w:rPr/>
        <w:t>in </w:t>
      </w:r>
      <w:r>
        <w:rPr>
          <w:spacing w:val="-3"/>
        </w:rPr>
        <w:t>relation with accidental loads </w:t>
      </w:r>
      <w:r>
        <w:rPr/>
        <w:t>one or </w:t>
      </w:r>
      <w:r>
        <w:rPr>
          <w:spacing w:val="-3"/>
        </w:rPr>
        <w:t>more </w:t>
      </w:r>
      <w:r>
        <w:rPr/>
        <w:t>of the </w:t>
      </w:r>
      <w:r>
        <w:rPr>
          <w:spacing w:val="-3"/>
        </w:rPr>
        <w:t>following strategies may </w:t>
      </w:r>
      <w:r>
        <w:rPr/>
        <w:t>be </w:t>
      </w:r>
      <w:r>
        <w:rPr>
          <w:spacing w:val="-3"/>
        </w:rPr>
        <w:t>followed:</w:t>
      </w:r>
    </w:p>
    <w:p>
      <w:pPr>
        <w:pStyle w:val="ListParagraph"/>
        <w:numPr>
          <w:ilvl w:val="0"/>
          <w:numId w:val="13"/>
        </w:numPr>
        <w:tabs>
          <w:tab w:pos="898" w:val="left" w:leader="none"/>
        </w:tabs>
        <w:spacing w:line="312" w:lineRule="auto" w:before="3" w:after="0"/>
        <w:ind w:left="897" w:right="111" w:hanging="360"/>
        <w:jc w:val="left"/>
        <w:rPr>
          <w:sz w:val="24"/>
        </w:rPr>
      </w:pPr>
      <w:r>
        <w:rPr>
          <w:spacing w:val="-3"/>
          <w:sz w:val="24"/>
        </w:rPr>
        <w:t>reduction </w:t>
      </w:r>
      <w:r>
        <w:rPr>
          <w:sz w:val="24"/>
        </w:rPr>
        <w:t>of the </w:t>
      </w:r>
      <w:r>
        <w:rPr>
          <w:spacing w:val="-3"/>
          <w:sz w:val="24"/>
        </w:rPr>
        <w:t>probability that </w:t>
      </w:r>
      <w:r>
        <w:rPr>
          <w:sz w:val="24"/>
        </w:rPr>
        <w:t>the </w:t>
      </w:r>
      <w:r>
        <w:rPr>
          <w:spacing w:val="-3"/>
          <w:sz w:val="24"/>
        </w:rPr>
        <w:t>action occurs </w:t>
      </w:r>
      <w:r>
        <w:rPr>
          <w:sz w:val="24"/>
        </w:rPr>
        <w:t>or </w:t>
      </w:r>
      <w:r>
        <w:rPr>
          <w:spacing w:val="-3"/>
          <w:sz w:val="24"/>
        </w:rPr>
        <w:t>reduction </w:t>
      </w:r>
      <w:r>
        <w:rPr>
          <w:sz w:val="24"/>
        </w:rPr>
        <w:t>of the </w:t>
      </w:r>
      <w:r>
        <w:rPr>
          <w:spacing w:val="-3"/>
          <w:sz w:val="24"/>
        </w:rPr>
        <w:t>action intensity (prevention)</w:t>
      </w:r>
    </w:p>
    <w:p>
      <w:pPr>
        <w:pStyle w:val="ListParagraph"/>
        <w:numPr>
          <w:ilvl w:val="0"/>
          <w:numId w:val="13"/>
        </w:numPr>
        <w:tabs>
          <w:tab w:pos="898" w:val="left" w:leader="none"/>
        </w:tabs>
        <w:spacing w:line="240" w:lineRule="auto" w:before="2" w:after="0"/>
        <w:ind w:left="897" w:right="0" w:hanging="360"/>
        <w:jc w:val="left"/>
        <w:rPr>
          <w:sz w:val="24"/>
        </w:rPr>
      </w:pPr>
      <w:r>
        <w:rPr>
          <w:spacing w:val="-3"/>
          <w:sz w:val="24"/>
        </w:rPr>
        <w:t>reduction </w:t>
      </w:r>
      <w:r>
        <w:rPr>
          <w:sz w:val="24"/>
        </w:rPr>
        <w:t>of the </w:t>
      </w:r>
      <w:r>
        <w:rPr>
          <w:spacing w:val="-3"/>
          <w:sz w:val="24"/>
        </w:rPr>
        <w:t>effect </w:t>
      </w:r>
      <w:r>
        <w:rPr>
          <w:sz w:val="24"/>
        </w:rPr>
        <w:t>of the </w:t>
      </w:r>
      <w:r>
        <w:rPr>
          <w:spacing w:val="-3"/>
          <w:sz w:val="24"/>
        </w:rPr>
        <w:t>action </w:t>
      </w:r>
      <w:r>
        <w:rPr>
          <w:sz w:val="24"/>
        </w:rPr>
        <w:t>on the</w:t>
      </w:r>
      <w:r>
        <w:rPr>
          <w:spacing w:val="-42"/>
          <w:sz w:val="24"/>
        </w:rPr>
        <w:t> </w:t>
      </w:r>
      <w:r>
        <w:rPr>
          <w:spacing w:val="-3"/>
          <w:sz w:val="24"/>
        </w:rPr>
        <w:t>structure (protection)</w:t>
      </w:r>
    </w:p>
    <w:p>
      <w:pPr>
        <w:pStyle w:val="ListParagraph"/>
        <w:numPr>
          <w:ilvl w:val="0"/>
          <w:numId w:val="13"/>
        </w:numPr>
        <w:tabs>
          <w:tab w:pos="898" w:val="left" w:leader="none"/>
        </w:tabs>
        <w:spacing w:line="240" w:lineRule="auto" w:before="84" w:after="0"/>
        <w:ind w:left="897" w:right="0" w:hanging="360"/>
        <w:jc w:val="left"/>
        <w:rPr>
          <w:sz w:val="24"/>
        </w:rPr>
      </w:pPr>
      <w:r>
        <w:rPr>
          <w:spacing w:val="-3"/>
          <w:sz w:val="24"/>
        </w:rPr>
        <w:t>making </w:t>
      </w:r>
      <w:r>
        <w:rPr>
          <w:sz w:val="24"/>
        </w:rPr>
        <w:t>the </w:t>
      </w:r>
      <w:r>
        <w:rPr>
          <w:spacing w:val="-3"/>
          <w:sz w:val="24"/>
        </w:rPr>
        <w:t>structure strong enough </w:t>
      </w:r>
      <w:r>
        <w:rPr>
          <w:sz w:val="24"/>
        </w:rPr>
        <w:t>to </w:t>
      </w:r>
      <w:r>
        <w:rPr>
          <w:spacing w:val="-3"/>
          <w:sz w:val="24"/>
        </w:rPr>
        <w:t>withstand </w:t>
      </w:r>
      <w:r>
        <w:rPr>
          <w:sz w:val="24"/>
        </w:rPr>
        <w:t>the</w:t>
      </w:r>
      <w:r>
        <w:rPr>
          <w:spacing w:val="-26"/>
          <w:sz w:val="24"/>
        </w:rPr>
        <w:t> </w:t>
      </w:r>
      <w:r>
        <w:rPr>
          <w:spacing w:val="-3"/>
          <w:sz w:val="24"/>
        </w:rPr>
        <w:t>loads</w:t>
      </w:r>
    </w:p>
    <w:p>
      <w:pPr>
        <w:pStyle w:val="ListParagraph"/>
        <w:numPr>
          <w:ilvl w:val="0"/>
          <w:numId w:val="13"/>
        </w:numPr>
        <w:tabs>
          <w:tab w:pos="898" w:val="left" w:leader="none"/>
        </w:tabs>
        <w:spacing w:line="240" w:lineRule="auto" w:before="84" w:after="0"/>
        <w:ind w:left="897" w:right="0" w:hanging="360"/>
        <w:jc w:val="left"/>
        <w:rPr>
          <w:sz w:val="24"/>
        </w:rPr>
      </w:pPr>
      <w:r>
        <w:rPr>
          <w:spacing w:val="-3"/>
          <w:sz w:val="24"/>
        </w:rPr>
        <w:t>limiting </w:t>
      </w:r>
      <w:r>
        <w:rPr>
          <w:sz w:val="24"/>
        </w:rPr>
        <w:t>the </w:t>
      </w:r>
      <w:r>
        <w:rPr>
          <w:spacing w:val="-3"/>
          <w:sz w:val="24"/>
        </w:rPr>
        <w:t>amount </w:t>
      </w:r>
      <w:r>
        <w:rPr>
          <w:sz w:val="24"/>
        </w:rPr>
        <w:t>of </w:t>
      </w:r>
      <w:r>
        <w:rPr>
          <w:spacing w:val="-3"/>
          <w:sz w:val="24"/>
        </w:rPr>
        <w:t>structural</w:t>
      </w:r>
      <w:r>
        <w:rPr>
          <w:spacing w:val="-19"/>
          <w:sz w:val="24"/>
        </w:rPr>
        <w:t> </w:t>
      </w:r>
      <w:r>
        <w:rPr>
          <w:spacing w:val="-4"/>
          <w:sz w:val="24"/>
        </w:rPr>
        <w:t>damage</w:t>
      </w:r>
    </w:p>
    <w:p>
      <w:pPr>
        <w:pStyle w:val="ListParagraph"/>
        <w:numPr>
          <w:ilvl w:val="0"/>
          <w:numId w:val="13"/>
        </w:numPr>
        <w:tabs>
          <w:tab w:pos="898" w:val="left" w:leader="none"/>
        </w:tabs>
        <w:spacing w:line="240" w:lineRule="auto" w:before="84" w:after="0"/>
        <w:ind w:left="897" w:right="0" w:hanging="360"/>
        <w:jc w:val="left"/>
        <w:rPr>
          <w:sz w:val="24"/>
        </w:rPr>
      </w:pPr>
      <w:r>
        <w:rPr>
          <w:spacing w:val="-3"/>
          <w:sz w:val="24"/>
        </w:rPr>
        <w:t>migitation </w:t>
      </w:r>
      <w:r>
        <w:rPr>
          <w:sz w:val="24"/>
        </w:rPr>
        <w:t>of the </w:t>
      </w:r>
      <w:r>
        <w:rPr>
          <w:spacing w:val="-3"/>
          <w:sz w:val="24"/>
        </w:rPr>
        <w:t>consequences </w:t>
      </w:r>
      <w:r>
        <w:rPr>
          <w:sz w:val="24"/>
        </w:rPr>
        <w:t>of</w:t>
      </w:r>
      <w:r>
        <w:rPr>
          <w:spacing w:val="-27"/>
          <w:sz w:val="24"/>
        </w:rPr>
        <w:t> </w:t>
      </w:r>
      <w:r>
        <w:rPr>
          <w:spacing w:val="-3"/>
          <w:sz w:val="24"/>
        </w:rPr>
        <w:t>failure</w:t>
      </w:r>
    </w:p>
    <w:p>
      <w:pPr>
        <w:pStyle w:val="BodyText"/>
        <w:spacing w:before="7"/>
        <w:rPr>
          <w:sz w:val="38"/>
        </w:rPr>
      </w:pPr>
    </w:p>
    <w:p>
      <w:pPr>
        <w:pStyle w:val="BodyText"/>
        <w:spacing w:line="312" w:lineRule="auto"/>
        <w:ind w:left="177" w:right="112"/>
        <w:jc w:val="both"/>
      </w:pPr>
      <w:r>
        <w:rPr/>
        <w:t>The </w:t>
      </w:r>
      <w:r>
        <w:rPr>
          <w:spacing w:val="-3"/>
        </w:rPr>
        <w:t>strategies </w:t>
      </w:r>
      <w:r>
        <w:rPr/>
        <w:t>1, 2 and 5 are so </w:t>
      </w:r>
      <w:r>
        <w:rPr>
          <w:spacing w:val="-3"/>
        </w:rPr>
        <w:t>called non-structural measures. These measures </w:t>
      </w:r>
      <w:r>
        <w:rPr/>
        <w:t>are </w:t>
      </w:r>
      <w:r>
        <w:rPr>
          <w:spacing w:val="-3"/>
        </w:rPr>
        <w:t>considered </w:t>
      </w:r>
      <w:r>
        <w:rPr/>
        <w:t>as </w:t>
      </w:r>
      <w:r>
        <w:rPr>
          <w:spacing w:val="-3"/>
        </w:rPr>
        <w:t>being very effective </w:t>
      </w:r>
      <w:r>
        <w:rPr/>
        <w:t>for </w:t>
      </w:r>
      <w:r>
        <w:rPr>
          <w:spacing w:val="-3"/>
        </w:rPr>
        <w:t>some specific accidental</w:t>
      </w:r>
      <w:r>
        <w:rPr>
          <w:spacing w:val="-25"/>
        </w:rPr>
        <w:t> </w:t>
      </w:r>
      <w:r>
        <w:rPr>
          <w:spacing w:val="-3"/>
        </w:rPr>
        <w:t>action.</w:t>
      </w:r>
    </w:p>
    <w:p>
      <w:pPr>
        <w:pStyle w:val="BodyText"/>
        <w:spacing w:before="6"/>
        <w:rPr>
          <w:sz w:val="31"/>
        </w:rPr>
      </w:pPr>
    </w:p>
    <w:p>
      <w:pPr>
        <w:pStyle w:val="BodyText"/>
        <w:spacing w:line="312" w:lineRule="auto"/>
        <w:ind w:left="177" w:right="113"/>
        <w:jc w:val="both"/>
      </w:pPr>
      <w:r>
        <w:rPr/>
        <w:t>The </w:t>
      </w:r>
      <w:r>
        <w:rPr>
          <w:spacing w:val="-3"/>
        </w:rPr>
        <w:t>strategies </w:t>
      </w:r>
      <w:r>
        <w:rPr/>
        <w:t>3 and 4 are so </w:t>
      </w:r>
      <w:r>
        <w:rPr>
          <w:spacing w:val="-3"/>
        </w:rPr>
        <w:t>called structural measures. </w:t>
      </w:r>
      <w:r>
        <w:rPr/>
        <w:t>In </w:t>
      </w:r>
      <w:r>
        <w:rPr>
          <w:spacing w:val="-3"/>
        </w:rPr>
        <w:t>general strategy </w:t>
      </w:r>
      <w:r>
        <w:rPr/>
        <w:t>3 is </w:t>
      </w:r>
      <w:r>
        <w:rPr>
          <w:spacing w:val="-4"/>
        </w:rPr>
        <w:t>extremely </w:t>
      </w:r>
      <w:r>
        <w:rPr>
          <w:spacing w:val="-3"/>
        </w:rPr>
        <w:t>expensive </w:t>
      </w:r>
      <w:r>
        <w:rPr/>
        <w:t>in </w:t>
      </w:r>
      <w:r>
        <w:rPr>
          <w:spacing w:val="-3"/>
        </w:rPr>
        <w:t>most cases. Strategy </w:t>
      </w:r>
      <w:r>
        <w:rPr/>
        <w:t>4, on the </w:t>
      </w:r>
      <w:r>
        <w:rPr>
          <w:spacing w:val="-3"/>
        </w:rPr>
        <w:t>other hand accepts some </w:t>
      </w:r>
      <w:r>
        <w:rPr>
          <w:spacing w:val="-4"/>
        </w:rPr>
        <w:t>members </w:t>
      </w:r>
      <w:r>
        <w:rPr/>
        <w:t>to </w:t>
      </w:r>
      <w:r>
        <w:rPr>
          <w:spacing w:val="-3"/>
        </w:rPr>
        <w:t>fail, but requires that </w:t>
      </w:r>
      <w:r>
        <w:rPr/>
        <w:t>the </w:t>
      </w:r>
      <w:r>
        <w:rPr>
          <w:spacing w:val="-3"/>
        </w:rPr>
        <w:t>total damage </w:t>
      </w:r>
      <w:r>
        <w:rPr/>
        <w:t>is </w:t>
      </w:r>
      <w:r>
        <w:rPr>
          <w:spacing w:val="-3"/>
        </w:rPr>
        <w:t>limited. This means that </w:t>
      </w:r>
      <w:r>
        <w:rPr/>
        <w:t>the </w:t>
      </w:r>
      <w:r>
        <w:rPr>
          <w:spacing w:val="-3"/>
        </w:rPr>
        <w:t>structure should have sufficient</w:t>
      </w:r>
      <w:r>
        <w:rPr>
          <w:spacing w:val="53"/>
        </w:rPr>
        <w:t> </w:t>
      </w:r>
      <w:r>
        <w:rPr>
          <w:spacing w:val="-3"/>
        </w:rPr>
        <w:t>redundancy </w:t>
      </w:r>
      <w:r>
        <w:rPr/>
        <w:t>and </w:t>
      </w:r>
      <w:r>
        <w:rPr>
          <w:spacing w:val="-3"/>
        </w:rPr>
        <w:t>possibilities </w:t>
      </w:r>
      <w:r>
        <w:rPr/>
        <w:t>to </w:t>
      </w:r>
      <w:r>
        <w:rPr>
          <w:spacing w:val="-3"/>
        </w:rPr>
        <w:t>mobilise </w:t>
      </w:r>
      <w:r>
        <w:rPr/>
        <w:t>so </w:t>
      </w:r>
      <w:r>
        <w:rPr>
          <w:spacing w:val="-3"/>
        </w:rPr>
        <w:t>called alternative load</w:t>
      </w:r>
      <w:r>
        <w:rPr>
          <w:spacing w:val="-30"/>
        </w:rPr>
        <w:t> </w:t>
      </w:r>
      <w:r>
        <w:rPr>
          <w:spacing w:val="-3"/>
        </w:rPr>
        <w:t>paths.</w:t>
      </w:r>
    </w:p>
    <w:p>
      <w:pPr>
        <w:pStyle w:val="BodyText"/>
        <w:spacing w:before="8"/>
        <w:rPr>
          <w:sz w:val="31"/>
        </w:rPr>
      </w:pPr>
    </w:p>
    <w:p>
      <w:pPr>
        <w:pStyle w:val="BodyText"/>
        <w:spacing w:line="312" w:lineRule="auto" w:before="1"/>
        <w:ind w:left="177" w:right="111"/>
        <w:jc w:val="both"/>
      </w:pPr>
      <w:r>
        <w:rPr/>
        <w:t>In the ideal design procedure, the occurrence and effects of an accidental action (impact, explosion, etc.) are simulated for all possible action scenarios. The damage effect of the structural members is calculated and stability of the remaining structure assessed. Next the consequences are estimated in terms of number of casualties and economic losses. Various measures can be compared on the basis of economic criteria.</w:t>
      </w:r>
    </w:p>
    <w:p>
      <w:pPr>
        <w:spacing w:after="0" w:line="312" w:lineRule="auto"/>
        <w:jc w:val="both"/>
        <w:sectPr>
          <w:pgSz w:w="11910" w:h="16840"/>
          <w:pgMar w:header="0" w:footer="788" w:top="1600" w:bottom="980" w:left="1240" w:right="1300"/>
        </w:sectPr>
      </w:pPr>
    </w:p>
    <w:p>
      <w:pPr>
        <w:pStyle w:val="BodyText"/>
        <w:spacing w:before="4"/>
        <w:rPr>
          <w:sz w:val="27"/>
        </w:rPr>
      </w:pPr>
    </w:p>
    <w:p>
      <w:pPr>
        <w:pStyle w:val="Heading2"/>
        <w:numPr>
          <w:ilvl w:val="1"/>
          <w:numId w:val="2"/>
        </w:numPr>
        <w:tabs>
          <w:tab w:pos="1085" w:val="left" w:leader="none"/>
        </w:tabs>
        <w:spacing w:line="240" w:lineRule="auto" w:before="90" w:after="0"/>
        <w:ind w:left="1084" w:right="0" w:hanging="907"/>
        <w:jc w:val="both"/>
      </w:pPr>
      <w:bookmarkStart w:name="_TOC_250018" w:id="32"/>
      <w:bookmarkEnd w:id="32"/>
      <w:r>
        <w:rPr/>
        <w:t>Simplified design procedure</w:t>
      </w:r>
    </w:p>
    <w:p>
      <w:pPr>
        <w:pStyle w:val="BodyText"/>
        <w:spacing w:before="201"/>
        <w:ind w:left="177"/>
        <w:jc w:val="both"/>
      </w:pPr>
      <w:r>
        <w:rPr/>
        <w:t>The approach sketched in A2 has two disadvantages:</w:t>
      </w:r>
    </w:p>
    <w:p>
      <w:pPr>
        <w:pStyle w:val="ListParagraph"/>
        <w:numPr>
          <w:ilvl w:val="0"/>
          <w:numId w:val="14"/>
        </w:numPr>
        <w:tabs>
          <w:tab w:pos="989" w:val="left" w:leader="none"/>
        </w:tabs>
        <w:spacing w:line="240" w:lineRule="auto" w:before="84" w:after="0"/>
        <w:ind w:left="988" w:right="0" w:hanging="331"/>
        <w:jc w:val="left"/>
        <w:rPr>
          <w:sz w:val="24"/>
        </w:rPr>
      </w:pPr>
      <w:r>
        <w:rPr>
          <w:sz w:val="24"/>
        </w:rPr>
        <w:t>it is </w:t>
      </w:r>
      <w:r>
        <w:rPr>
          <w:spacing w:val="-3"/>
          <w:sz w:val="24"/>
        </w:rPr>
        <w:t>extremely</w:t>
      </w:r>
      <w:r>
        <w:rPr>
          <w:spacing w:val="-15"/>
          <w:sz w:val="24"/>
        </w:rPr>
        <w:t> </w:t>
      </w:r>
      <w:r>
        <w:rPr>
          <w:spacing w:val="-4"/>
          <w:sz w:val="24"/>
        </w:rPr>
        <w:t>complicated</w:t>
      </w:r>
    </w:p>
    <w:p>
      <w:pPr>
        <w:pStyle w:val="ListParagraph"/>
        <w:numPr>
          <w:ilvl w:val="0"/>
          <w:numId w:val="14"/>
        </w:numPr>
        <w:tabs>
          <w:tab w:pos="988" w:val="left" w:leader="none"/>
        </w:tabs>
        <w:spacing w:line="240" w:lineRule="auto" w:before="84" w:after="0"/>
        <w:ind w:left="987" w:right="0" w:hanging="330"/>
        <w:jc w:val="left"/>
        <w:rPr>
          <w:sz w:val="24"/>
        </w:rPr>
      </w:pPr>
      <w:r>
        <w:rPr>
          <w:sz w:val="24"/>
        </w:rPr>
        <w:t>it </w:t>
      </w:r>
      <w:r>
        <w:rPr>
          <w:spacing w:val="-3"/>
          <w:sz w:val="24"/>
        </w:rPr>
        <w:t>does </w:t>
      </w:r>
      <w:r>
        <w:rPr>
          <w:sz w:val="24"/>
        </w:rPr>
        <w:t>not </w:t>
      </w:r>
      <w:r>
        <w:rPr>
          <w:spacing w:val="-3"/>
          <w:sz w:val="24"/>
        </w:rPr>
        <w:t>work </w:t>
      </w:r>
      <w:r>
        <w:rPr>
          <w:sz w:val="24"/>
        </w:rPr>
        <w:t>for </w:t>
      </w:r>
      <w:r>
        <w:rPr>
          <w:spacing w:val="-3"/>
          <w:sz w:val="24"/>
        </w:rPr>
        <w:t>unforseenable</w:t>
      </w:r>
      <w:r>
        <w:rPr>
          <w:spacing w:val="-25"/>
          <w:sz w:val="24"/>
        </w:rPr>
        <w:t> </w:t>
      </w:r>
      <w:r>
        <w:rPr>
          <w:spacing w:val="-3"/>
          <w:sz w:val="24"/>
        </w:rPr>
        <w:t>hazards</w:t>
      </w:r>
    </w:p>
    <w:p>
      <w:pPr>
        <w:pStyle w:val="BodyText"/>
        <w:spacing w:before="7"/>
        <w:rPr>
          <w:sz w:val="38"/>
        </w:rPr>
      </w:pPr>
    </w:p>
    <w:p>
      <w:pPr>
        <w:pStyle w:val="BodyText"/>
        <w:spacing w:line="312" w:lineRule="auto"/>
        <w:ind w:left="177" w:right="110"/>
        <w:jc w:val="both"/>
      </w:pPr>
      <w:r>
        <w:rPr/>
        <w:t>As a result other more global design strategies have been developed, like the classical requirements on sufficient ductility and tying of elements.</w:t>
      </w:r>
    </w:p>
    <w:p>
      <w:pPr>
        <w:pStyle w:val="BodyText"/>
        <w:spacing w:before="6"/>
        <w:rPr>
          <w:sz w:val="31"/>
        </w:rPr>
      </w:pPr>
    </w:p>
    <w:p>
      <w:pPr>
        <w:pStyle w:val="BodyText"/>
        <w:spacing w:line="312" w:lineRule="auto"/>
        <w:ind w:left="177" w:right="110"/>
        <w:jc w:val="both"/>
      </w:pPr>
      <w:r>
        <w:rPr>
          <w:spacing w:val="-3"/>
        </w:rPr>
        <w:t>Another approach </w:t>
      </w:r>
      <w:r>
        <w:rPr/>
        <w:t>is </w:t>
      </w:r>
      <w:r>
        <w:rPr>
          <w:spacing w:val="-3"/>
        </w:rPr>
        <w:t>that </w:t>
      </w:r>
      <w:r>
        <w:rPr/>
        <w:t>one </w:t>
      </w:r>
      <w:r>
        <w:rPr>
          <w:spacing w:val="-3"/>
        </w:rPr>
        <w:t>considers </w:t>
      </w:r>
      <w:r>
        <w:rPr/>
        <w:t>the </w:t>
      </w:r>
      <w:r>
        <w:rPr>
          <w:spacing w:val="-3"/>
        </w:rPr>
        <w:t>situation that </w:t>
      </w:r>
      <w:r>
        <w:rPr/>
        <w:t>a </w:t>
      </w:r>
      <w:r>
        <w:rPr>
          <w:spacing w:val="-3"/>
        </w:rPr>
        <w:t>structural element (beam, column)  </w:t>
      </w:r>
      <w:r>
        <w:rPr/>
        <w:t>has </w:t>
      </w:r>
      <w:r>
        <w:rPr>
          <w:spacing w:val="-3"/>
        </w:rPr>
        <w:t>been damaged, </w:t>
      </w:r>
      <w:r>
        <w:rPr/>
        <w:t>by </w:t>
      </w:r>
      <w:r>
        <w:rPr>
          <w:spacing w:val="-3"/>
        </w:rPr>
        <w:t>whatever event, </w:t>
      </w:r>
      <w:r>
        <w:rPr/>
        <w:t>to </w:t>
      </w:r>
      <w:r>
        <w:rPr>
          <w:spacing w:val="-3"/>
        </w:rPr>
        <w:t>such </w:t>
      </w:r>
      <w:r>
        <w:rPr/>
        <w:t>an </w:t>
      </w:r>
      <w:r>
        <w:rPr>
          <w:spacing w:val="-3"/>
        </w:rPr>
        <w:t>extend that </w:t>
      </w:r>
      <w:r>
        <w:rPr/>
        <w:t>its </w:t>
      </w:r>
      <w:r>
        <w:rPr>
          <w:spacing w:val="-3"/>
        </w:rPr>
        <w:t>normal load bearing capacity </w:t>
      </w:r>
      <w:r>
        <w:rPr/>
        <w:t>has </w:t>
      </w:r>
      <w:r>
        <w:rPr>
          <w:spacing w:val="-3"/>
        </w:rPr>
        <w:t>vanished almost completely. </w:t>
      </w:r>
      <w:r>
        <w:rPr/>
        <w:t>For the </w:t>
      </w:r>
      <w:r>
        <w:rPr>
          <w:spacing w:val="-3"/>
        </w:rPr>
        <w:t>remaining part </w:t>
      </w:r>
      <w:r>
        <w:rPr/>
        <w:t>of the </w:t>
      </w:r>
      <w:r>
        <w:rPr>
          <w:spacing w:val="-3"/>
        </w:rPr>
        <w:t>structure </w:t>
      </w:r>
      <w:r>
        <w:rPr/>
        <w:t>it </w:t>
      </w:r>
      <w:r>
        <w:rPr>
          <w:spacing w:val="-3"/>
        </w:rPr>
        <w:t>then required that fore some relatively short period </w:t>
      </w:r>
      <w:r>
        <w:rPr/>
        <w:t>of </w:t>
      </w:r>
      <w:r>
        <w:rPr>
          <w:spacing w:val="-3"/>
        </w:rPr>
        <w:t>time (repair period </w:t>
      </w:r>
      <w:r>
        <w:rPr/>
        <w:t>T) the </w:t>
      </w:r>
      <w:r>
        <w:rPr>
          <w:spacing w:val="-3"/>
        </w:rPr>
        <w:t>structure </w:t>
      </w:r>
      <w:r>
        <w:rPr/>
        <w:t>can </w:t>
      </w:r>
      <w:r>
        <w:rPr>
          <w:spacing w:val="-3"/>
        </w:rPr>
        <w:t>withstand </w:t>
      </w:r>
      <w:r>
        <w:rPr/>
        <w:t>the </w:t>
      </w:r>
      <w:r>
        <w:rPr>
          <w:spacing w:val="-4"/>
        </w:rPr>
        <w:t>"normal" </w:t>
      </w:r>
      <w:r>
        <w:rPr>
          <w:spacing w:val="-3"/>
        </w:rPr>
        <w:t>loads with some prescribed</w:t>
      </w:r>
      <w:r>
        <w:rPr>
          <w:spacing w:val="-11"/>
        </w:rPr>
        <w:t> </w:t>
      </w:r>
      <w:r>
        <w:rPr>
          <w:spacing w:val="-3"/>
        </w:rPr>
        <w:t>reliability:</w:t>
      </w:r>
    </w:p>
    <w:p>
      <w:pPr>
        <w:pStyle w:val="BodyText"/>
        <w:tabs>
          <w:tab w:pos="8759" w:val="left" w:leader="none"/>
        </w:tabs>
        <w:spacing w:line="720" w:lineRule="exact" w:before="14"/>
        <w:ind w:left="177" w:right="158" w:firstLine="480"/>
      </w:pPr>
      <w:r>
        <w:rPr/>
        <w:t>P(R</w:t>
      </w:r>
      <w:r>
        <w:rPr>
          <w:spacing w:val="-7"/>
        </w:rPr>
        <w:t> </w:t>
      </w:r>
      <w:r>
        <w:rPr/>
        <w:t>&lt;</w:t>
      </w:r>
      <w:r>
        <w:rPr>
          <w:spacing w:val="-7"/>
        </w:rPr>
        <w:t> </w:t>
      </w:r>
      <w:r>
        <w:rPr/>
        <w:t>S</w:t>
      </w:r>
      <w:r>
        <w:rPr>
          <w:spacing w:val="-7"/>
        </w:rPr>
        <w:t> </w:t>
      </w:r>
      <w:r>
        <w:rPr/>
        <w:t>in</w:t>
      </w:r>
      <w:r>
        <w:rPr>
          <w:spacing w:val="-7"/>
        </w:rPr>
        <w:t> </w:t>
      </w:r>
      <w:r>
        <w:rPr/>
        <w:t>T</w:t>
      </w:r>
      <w:r>
        <w:rPr>
          <w:spacing w:val="-7"/>
        </w:rPr>
        <w:t> </w:t>
      </w:r>
      <w:r>
        <w:rPr/>
        <w:t>|</w:t>
      </w:r>
      <w:r>
        <w:rPr>
          <w:spacing w:val="-7"/>
        </w:rPr>
        <w:t> </w:t>
      </w:r>
      <w:r>
        <w:rPr/>
        <w:t>one</w:t>
      </w:r>
      <w:r>
        <w:rPr>
          <w:spacing w:val="-7"/>
        </w:rPr>
        <w:t> </w:t>
      </w:r>
      <w:r>
        <w:rPr>
          <w:spacing w:val="-3"/>
        </w:rPr>
        <w:t>element</w:t>
      </w:r>
      <w:r>
        <w:rPr>
          <w:spacing w:val="-7"/>
        </w:rPr>
        <w:t> </w:t>
      </w:r>
      <w:r>
        <w:rPr>
          <w:spacing w:val="-3"/>
        </w:rPr>
        <w:t>removed)</w:t>
      </w:r>
      <w:r>
        <w:rPr>
          <w:spacing w:val="-7"/>
        </w:rPr>
        <w:t> </w:t>
      </w:r>
      <w:r>
        <w:rPr/>
        <w:t>&lt;</w:t>
      </w:r>
      <w:r>
        <w:rPr>
          <w:spacing w:val="-7"/>
        </w:rPr>
        <w:t> </w:t>
      </w:r>
      <w:r>
        <w:rPr>
          <w:spacing w:val="-3"/>
        </w:rPr>
        <w:t>p</w:t>
      </w:r>
      <w:r>
        <w:rPr>
          <w:spacing w:val="-3"/>
          <w:vertAlign w:val="subscript"/>
        </w:rPr>
        <w:t>target</w:t>
      </w:r>
      <w:r>
        <w:rPr>
          <w:spacing w:val="-3"/>
          <w:vertAlign w:val="baseline"/>
        </w:rPr>
        <w:tab/>
        <w:t>(A1) </w:t>
      </w:r>
      <w:r>
        <w:rPr>
          <w:vertAlign w:val="baseline"/>
        </w:rPr>
        <w:t>The </w:t>
      </w:r>
      <w:r>
        <w:rPr>
          <w:spacing w:val="-3"/>
          <w:vertAlign w:val="baseline"/>
        </w:rPr>
        <w:t>target reliability </w:t>
      </w:r>
      <w:r>
        <w:rPr>
          <w:vertAlign w:val="baseline"/>
        </w:rPr>
        <w:t>in </w:t>
      </w:r>
      <w:r>
        <w:rPr>
          <w:spacing w:val="-3"/>
          <w:vertAlign w:val="baseline"/>
        </w:rPr>
        <w:t>(A1) depends</w:t>
      </w:r>
      <w:r>
        <w:rPr>
          <w:spacing w:val="-21"/>
          <w:vertAlign w:val="baseline"/>
        </w:rPr>
        <w:t> </w:t>
      </w:r>
      <w:r>
        <w:rPr>
          <w:spacing w:val="-3"/>
          <w:vertAlign w:val="baseline"/>
        </w:rPr>
        <w:t>on:</w:t>
      </w:r>
    </w:p>
    <w:p>
      <w:pPr>
        <w:pStyle w:val="ListParagraph"/>
        <w:numPr>
          <w:ilvl w:val="0"/>
          <w:numId w:val="3"/>
        </w:numPr>
        <w:tabs>
          <w:tab w:pos="656" w:val="left" w:leader="none"/>
          <w:tab w:pos="657" w:val="left" w:leader="none"/>
        </w:tabs>
        <w:spacing w:line="268" w:lineRule="exact" w:before="0" w:after="0"/>
        <w:ind w:left="656" w:right="0" w:hanging="479"/>
        <w:jc w:val="left"/>
        <w:rPr>
          <w:sz w:val="24"/>
        </w:rPr>
      </w:pPr>
      <w:r>
        <w:rPr>
          <w:sz w:val="24"/>
        </w:rPr>
        <w:t>the </w:t>
      </w:r>
      <w:r>
        <w:rPr>
          <w:spacing w:val="-3"/>
          <w:sz w:val="24"/>
        </w:rPr>
        <w:t>normal safety target for </w:t>
      </w:r>
      <w:r>
        <w:rPr>
          <w:sz w:val="24"/>
        </w:rPr>
        <w:t>the</w:t>
      </w:r>
      <w:r>
        <w:rPr>
          <w:spacing w:val="-19"/>
          <w:sz w:val="24"/>
        </w:rPr>
        <w:t> </w:t>
      </w:r>
      <w:r>
        <w:rPr>
          <w:spacing w:val="-3"/>
          <w:sz w:val="24"/>
        </w:rPr>
        <w:t>building</w:t>
      </w:r>
    </w:p>
    <w:p>
      <w:pPr>
        <w:pStyle w:val="ListParagraph"/>
        <w:numPr>
          <w:ilvl w:val="0"/>
          <w:numId w:val="3"/>
        </w:numPr>
        <w:tabs>
          <w:tab w:pos="656" w:val="left" w:leader="none"/>
          <w:tab w:pos="657" w:val="left" w:leader="none"/>
        </w:tabs>
        <w:spacing w:line="240" w:lineRule="auto" w:before="85" w:after="0"/>
        <w:ind w:left="656" w:right="0" w:hanging="479"/>
        <w:jc w:val="left"/>
        <w:rPr>
          <w:sz w:val="24"/>
        </w:rPr>
      </w:pPr>
      <w:r>
        <w:rPr>
          <w:sz w:val="24"/>
        </w:rPr>
        <w:t>the </w:t>
      </w:r>
      <w:r>
        <w:rPr>
          <w:spacing w:val="-3"/>
          <w:sz w:val="24"/>
        </w:rPr>
        <w:t>period under consideration (hours, days </w:t>
      </w:r>
      <w:r>
        <w:rPr>
          <w:sz w:val="24"/>
        </w:rPr>
        <w:t>or</w:t>
      </w:r>
      <w:r>
        <w:rPr>
          <w:spacing w:val="-19"/>
          <w:sz w:val="24"/>
        </w:rPr>
        <w:t> </w:t>
      </w:r>
      <w:r>
        <w:rPr>
          <w:spacing w:val="-4"/>
          <w:sz w:val="24"/>
        </w:rPr>
        <w:t>months)</w:t>
      </w:r>
    </w:p>
    <w:p>
      <w:pPr>
        <w:pStyle w:val="ListParagraph"/>
        <w:numPr>
          <w:ilvl w:val="0"/>
          <w:numId w:val="3"/>
        </w:numPr>
        <w:tabs>
          <w:tab w:pos="656" w:val="left" w:leader="none"/>
          <w:tab w:pos="658" w:val="left" w:leader="none"/>
        </w:tabs>
        <w:spacing w:line="312" w:lineRule="auto" w:before="84" w:after="0"/>
        <w:ind w:left="657" w:right="112" w:hanging="480"/>
        <w:jc w:val="left"/>
        <w:rPr>
          <w:sz w:val="24"/>
        </w:rPr>
      </w:pPr>
      <w:r>
        <w:rPr>
          <w:sz w:val="24"/>
        </w:rPr>
        <w:t>the </w:t>
      </w:r>
      <w:r>
        <w:rPr>
          <w:spacing w:val="-3"/>
          <w:sz w:val="24"/>
        </w:rPr>
        <w:t>probability that </w:t>
      </w:r>
      <w:r>
        <w:rPr>
          <w:sz w:val="24"/>
        </w:rPr>
        <w:t>the </w:t>
      </w:r>
      <w:r>
        <w:rPr>
          <w:spacing w:val="-3"/>
          <w:sz w:val="24"/>
        </w:rPr>
        <w:t>element under consideration </w:t>
      </w:r>
      <w:r>
        <w:rPr>
          <w:sz w:val="24"/>
        </w:rPr>
        <w:t>is </w:t>
      </w:r>
      <w:r>
        <w:rPr>
          <w:spacing w:val="-3"/>
          <w:sz w:val="24"/>
        </w:rPr>
        <w:t>removed </w:t>
      </w:r>
      <w:r>
        <w:rPr>
          <w:sz w:val="24"/>
        </w:rPr>
        <w:t>(by </w:t>
      </w:r>
      <w:r>
        <w:rPr>
          <w:spacing w:val="-3"/>
          <w:sz w:val="24"/>
        </w:rPr>
        <w:t>other causes then already considered </w:t>
      </w:r>
      <w:r>
        <w:rPr>
          <w:sz w:val="24"/>
        </w:rPr>
        <w:t>in</w:t>
      </w:r>
      <w:r>
        <w:rPr>
          <w:spacing w:val="-9"/>
          <w:sz w:val="24"/>
        </w:rPr>
        <w:t> </w:t>
      </w:r>
      <w:r>
        <w:rPr>
          <w:spacing w:val="-3"/>
          <w:sz w:val="24"/>
        </w:rPr>
        <w:t>design).</w:t>
      </w:r>
    </w:p>
    <w:p>
      <w:pPr>
        <w:pStyle w:val="BodyText"/>
        <w:spacing w:before="5"/>
        <w:rPr>
          <w:sz w:val="31"/>
        </w:rPr>
      </w:pPr>
    </w:p>
    <w:p>
      <w:pPr>
        <w:pStyle w:val="BodyText"/>
        <w:spacing w:line="312" w:lineRule="auto" w:before="1"/>
        <w:ind w:left="177" w:right="110"/>
        <w:jc w:val="both"/>
      </w:pPr>
      <w:r>
        <w:rPr/>
        <w:t>The </w:t>
      </w:r>
      <w:r>
        <w:rPr>
          <w:spacing w:val="-3"/>
        </w:rPr>
        <w:t>probability that some element </w:t>
      </w:r>
      <w:r>
        <w:rPr/>
        <w:t>is </w:t>
      </w:r>
      <w:r>
        <w:rPr>
          <w:spacing w:val="-3"/>
        </w:rPr>
        <w:t>removed </w:t>
      </w:r>
      <w:r>
        <w:rPr/>
        <w:t>by </w:t>
      </w:r>
      <w:r>
        <w:rPr>
          <w:spacing w:val="-3"/>
        </w:rPr>
        <w:t>some cause, </w:t>
      </w:r>
      <w:r>
        <w:rPr/>
        <w:t>not yet </w:t>
      </w:r>
      <w:r>
        <w:rPr>
          <w:spacing w:val="-3"/>
        </w:rPr>
        <w:t>considered </w:t>
      </w:r>
      <w:r>
        <w:rPr/>
        <w:t>in </w:t>
      </w:r>
      <w:r>
        <w:rPr>
          <w:spacing w:val="-3"/>
        </w:rPr>
        <w:t>design, depends </w:t>
      </w:r>
      <w:r>
        <w:rPr/>
        <w:t>on the </w:t>
      </w:r>
      <w:r>
        <w:rPr>
          <w:spacing w:val="-3"/>
        </w:rPr>
        <w:t>sophistication </w:t>
      </w:r>
      <w:r>
        <w:rPr/>
        <w:t>of the </w:t>
      </w:r>
      <w:r>
        <w:rPr>
          <w:spacing w:val="-3"/>
        </w:rPr>
        <w:t>design procedure </w:t>
      </w:r>
      <w:r>
        <w:rPr/>
        <w:t>and on the </w:t>
      </w:r>
      <w:r>
        <w:rPr>
          <w:spacing w:val="-3"/>
        </w:rPr>
        <w:t>type </w:t>
      </w:r>
      <w:r>
        <w:rPr/>
        <w:t>of </w:t>
      </w:r>
      <w:r>
        <w:rPr>
          <w:spacing w:val="-3"/>
        </w:rPr>
        <w:t>structure. </w:t>
      </w:r>
      <w:r>
        <w:rPr/>
        <w:t>For a </w:t>
      </w:r>
      <w:r>
        <w:rPr>
          <w:spacing w:val="-3"/>
        </w:rPr>
        <w:t>conventional structure </w:t>
      </w:r>
      <w:r>
        <w:rPr/>
        <w:t>it </w:t>
      </w:r>
      <w:r>
        <w:rPr>
          <w:spacing w:val="-3"/>
        </w:rPr>
        <w:t>should, </w:t>
      </w:r>
      <w:r>
        <w:rPr/>
        <w:t>at </w:t>
      </w:r>
      <w:r>
        <w:rPr>
          <w:spacing w:val="-3"/>
        </w:rPr>
        <w:t>least </w:t>
      </w:r>
      <w:r>
        <w:rPr/>
        <w:t>in </w:t>
      </w:r>
      <w:r>
        <w:rPr>
          <w:spacing w:val="-3"/>
        </w:rPr>
        <w:t>theory, </w:t>
      </w:r>
      <w:r>
        <w:rPr/>
        <w:t>be </w:t>
      </w:r>
      <w:r>
        <w:rPr>
          <w:spacing w:val="-3"/>
        </w:rPr>
        <w:t>possible </w:t>
      </w:r>
      <w:r>
        <w:rPr/>
        <w:t>to </w:t>
      </w:r>
      <w:r>
        <w:rPr>
          <w:spacing w:val="-3"/>
        </w:rPr>
        <w:t>include </w:t>
      </w:r>
      <w:r>
        <w:rPr/>
        <w:t>all </w:t>
      </w:r>
      <w:r>
        <w:rPr>
          <w:spacing w:val="-3"/>
        </w:rPr>
        <w:t>relevant collapse origins </w:t>
      </w:r>
      <w:r>
        <w:rPr/>
        <w:t>in the </w:t>
      </w:r>
      <w:r>
        <w:rPr>
          <w:spacing w:val="-3"/>
        </w:rPr>
        <w:t>design. </w:t>
      </w:r>
      <w:r>
        <w:rPr/>
        <w:t>Of </w:t>
      </w:r>
      <w:r>
        <w:rPr>
          <w:spacing w:val="-3"/>
        </w:rPr>
        <w:t>course, </w:t>
      </w:r>
      <w:r>
        <w:rPr/>
        <w:t>it </w:t>
      </w:r>
      <w:r>
        <w:rPr>
          <w:spacing w:val="-3"/>
        </w:rPr>
        <w:t>will always </w:t>
      </w:r>
      <w:r>
        <w:rPr/>
        <w:t>be </w:t>
      </w:r>
      <w:r>
        <w:rPr>
          <w:spacing w:val="-3"/>
        </w:rPr>
        <w:t>possible </w:t>
      </w:r>
      <w:r>
        <w:rPr/>
        <w:t>to </w:t>
      </w:r>
      <w:r>
        <w:rPr>
          <w:spacing w:val="-3"/>
        </w:rPr>
        <w:t>think </w:t>
      </w:r>
      <w:r>
        <w:rPr/>
        <w:t>of </w:t>
      </w:r>
      <w:r>
        <w:rPr>
          <w:spacing w:val="-3"/>
        </w:rPr>
        <w:t>failure causes </w:t>
      </w:r>
      <w:r>
        <w:rPr/>
        <w:t>not </w:t>
      </w:r>
      <w:r>
        <w:rPr>
          <w:spacing w:val="-3"/>
        </w:rPr>
        <w:t>covered </w:t>
      </w:r>
      <w:r>
        <w:rPr/>
        <w:t>by the </w:t>
      </w:r>
      <w:r>
        <w:rPr>
          <w:spacing w:val="-3"/>
        </w:rPr>
        <w:t>design, </w:t>
      </w:r>
      <w:r>
        <w:rPr/>
        <w:t>but </w:t>
      </w:r>
      <w:r>
        <w:rPr>
          <w:spacing w:val="-3"/>
        </w:rPr>
        <w:t>those will have </w:t>
      </w:r>
      <w:r>
        <w:rPr/>
        <w:t>a </w:t>
      </w:r>
      <w:r>
        <w:rPr>
          <w:spacing w:val="-3"/>
        </w:rPr>
        <w:t>remote likelihood </w:t>
      </w:r>
      <w:r>
        <w:rPr/>
        <w:t>and </w:t>
      </w:r>
      <w:r>
        <w:rPr>
          <w:spacing w:val="-3"/>
        </w:rPr>
        <w:t>may </w:t>
      </w:r>
      <w:r>
        <w:rPr/>
        <w:t>be </w:t>
      </w:r>
      <w:r>
        <w:rPr>
          <w:spacing w:val="-3"/>
        </w:rPr>
        <w:t>disregarded </w:t>
      </w:r>
      <w:r>
        <w:rPr/>
        <w:t>on the </w:t>
      </w:r>
      <w:r>
        <w:rPr>
          <w:spacing w:val="-3"/>
        </w:rPr>
        <w:t>basis of decision theoretical arguments. </w:t>
      </w:r>
      <w:r>
        <w:rPr/>
        <w:t>For </w:t>
      </w:r>
      <w:r>
        <w:rPr>
          <w:spacing w:val="-3"/>
        </w:rPr>
        <w:t>unconventional structures this certainly will </w:t>
      </w:r>
      <w:r>
        <w:rPr/>
        <w:t>not be the </w:t>
      </w:r>
      <w:r>
        <w:rPr>
          <w:spacing w:val="-3"/>
        </w:rPr>
        <w:t>case.</w:t>
      </w:r>
    </w:p>
    <w:p>
      <w:pPr>
        <w:pStyle w:val="BodyText"/>
        <w:spacing w:before="7"/>
        <w:rPr>
          <w:sz w:val="35"/>
        </w:rPr>
      </w:pPr>
    </w:p>
    <w:p>
      <w:pPr>
        <w:pStyle w:val="Heading2"/>
        <w:numPr>
          <w:ilvl w:val="1"/>
          <w:numId w:val="2"/>
        </w:numPr>
        <w:tabs>
          <w:tab w:pos="1084" w:val="left" w:leader="none"/>
          <w:tab w:pos="1085" w:val="left" w:leader="none"/>
        </w:tabs>
        <w:spacing w:line="240" w:lineRule="auto" w:before="1" w:after="0"/>
        <w:ind w:left="1084" w:right="0" w:hanging="907"/>
        <w:jc w:val="left"/>
      </w:pPr>
      <w:bookmarkStart w:name="_TOC_250017" w:id="33"/>
      <w:bookmarkEnd w:id="33"/>
      <w:r>
        <w:rPr/>
        <w:t>Recommendation</w:t>
      </w:r>
    </w:p>
    <w:p>
      <w:pPr>
        <w:pStyle w:val="BodyText"/>
        <w:spacing w:line="312" w:lineRule="auto" w:before="201"/>
        <w:ind w:left="177" w:right="112"/>
        <w:jc w:val="both"/>
      </w:pPr>
      <w:r>
        <w:rPr/>
        <w:t>For </w:t>
      </w:r>
      <w:r>
        <w:rPr>
          <w:i/>
          <w:spacing w:val="-3"/>
        </w:rPr>
        <w:t>unconventional </w:t>
      </w:r>
      <w:r>
        <w:rPr>
          <w:spacing w:val="-3"/>
        </w:rPr>
        <w:t>structures, </w:t>
      </w:r>
      <w:r>
        <w:rPr/>
        <w:t>as </w:t>
      </w:r>
      <w:r>
        <w:rPr>
          <w:spacing w:val="-3"/>
        </w:rPr>
        <w:t>for instance large structures, </w:t>
      </w:r>
      <w:r>
        <w:rPr/>
        <w:t>the </w:t>
      </w:r>
      <w:r>
        <w:rPr>
          <w:spacing w:val="-3"/>
        </w:rPr>
        <w:t>probability </w:t>
      </w:r>
      <w:r>
        <w:rPr/>
        <w:t>of </w:t>
      </w:r>
      <w:r>
        <w:rPr>
          <w:spacing w:val="-3"/>
        </w:rPr>
        <w:t>having some unspecified failure cause </w:t>
      </w:r>
      <w:r>
        <w:rPr/>
        <w:t>is </w:t>
      </w:r>
      <w:r>
        <w:rPr>
          <w:spacing w:val="-3"/>
        </w:rPr>
        <w:t>substantial. </w:t>
      </w:r>
      <w:r>
        <w:rPr/>
        <w:t>If in </w:t>
      </w:r>
      <w:r>
        <w:rPr>
          <w:spacing w:val="-3"/>
        </w:rPr>
        <w:t>addition </w:t>
      </w:r>
      <w:r>
        <w:rPr/>
        <w:t>new </w:t>
      </w:r>
      <w:r>
        <w:rPr>
          <w:spacing w:val="-3"/>
        </w:rPr>
        <w:t>materials </w:t>
      </w:r>
      <w:r>
        <w:rPr/>
        <w:t>or new </w:t>
      </w:r>
      <w:r>
        <w:rPr>
          <w:spacing w:val="-3"/>
        </w:rPr>
        <w:t>design concepts are used, unexpected failure causes become more likely. This would indicate that for  unconventional structures </w:t>
      </w:r>
      <w:r>
        <w:rPr/>
        <w:t>the </w:t>
      </w:r>
      <w:r>
        <w:rPr>
          <w:spacing w:val="-3"/>
        </w:rPr>
        <w:t>simplified approach should </w:t>
      </w:r>
      <w:r>
        <w:rPr/>
        <w:t>be</w:t>
      </w:r>
      <w:r>
        <w:rPr>
          <w:spacing w:val="-18"/>
        </w:rPr>
        <w:t> </w:t>
      </w:r>
      <w:r>
        <w:rPr>
          <w:spacing w:val="-4"/>
        </w:rPr>
        <w:t>recommended.</w:t>
      </w:r>
    </w:p>
    <w:p>
      <w:pPr>
        <w:pStyle w:val="BodyText"/>
        <w:spacing w:before="9"/>
        <w:rPr>
          <w:sz w:val="31"/>
        </w:rPr>
      </w:pPr>
    </w:p>
    <w:p>
      <w:pPr>
        <w:spacing w:before="0"/>
        <w:ind w:left="177" w:right="0" w:firstLine="0"/>
        <w:jc w:val="both"/>
        <w:rPr>
          <w:sz w:val="24"/>
        </w:rPr>
      </w:pPr>
      <w:r>
        <w:rPr>
          <w:sz w:val="24"/>
        </w:rPr>
        <w:t>For </w:t>
      </w:r>
      <w:r>
        <w:rPr>
          <w:i/>
          <w:sz w:val="24"/>
        </w:rPr>
        <w:t>conventional </w:t>
      </w:r>
      <w:r>
        <w:rPr>
          <w:sz w:val="24"/>
        </w:rPr>
        <w:t>structures there is a choice:</w:t>
      </w:r>
    </w:p>
    <w:p>
      <w:pPr>
        <w:spacing w:after="0"/>
        <w:jc w:val="both"/>
        <w:rPr>
          <w:sz w:val="24"/>
        </w:rPr>
        <w:sectPr>
          <w:pgSz w:w="11910" w:h="16840"/>
          <w:pgMar w:header="0" w:footer="788" w:top="1600" w:bottom="980" w:left="1240" w:right="1300"/>
        </w:sectPr>
      </w:pPr>
    </w:p>
    <w:p>
      <w:pPr>
        <w:pStyle w:val="ListParagraph"/>
        <w:numPr>
          <w:ilvl w:val="0"/>
          <w:numId w:val="15"/>
        </w:numPr>
        <w:tabs>
          <w:tab w:pos="898" w:val="left" w:leader="none"/>
        </w:tabs>
        <w:spacing w:line="312" w:lineRule="auto" w:before="62" w:after="0"/>
        <w:ind w:left="897" w:right="111" w:hanging="360"/>
        <w:jc w:val="both"/>
        <w:rPr>
          <w:sz w:val="24"/>
        </w:rPr>
      </w:pPr>
      <w:r>
        <w:rPr>
          <w:sz w:val="24"/>
        </w:rPr>
        <w:t>one </w:t>
      </w:r>
      <w:r>
        <w:rPr>
          <w:spacing w:val="-3"/>
          <w:sz w:val="24"/>
        </w:rPr>
        <w:t>might argue that, </w:t>
      </w:r>
      <w:r>
        <w:rPr>
          <w:sz w:val="24"/>
        </w:rPr>
        <w:t>as one </w:t>
      </w:r>
      <w:r>
        <w:rPr>
          <w:spacing w:val="-3"/>
          <w:sz w:val="24"/>
        </w:rPr>
        <w:t>never succeeds </w:t>
      </w:r>
      <w:r>
        <w:rPr>
          <w:sz w:val="24"/>
        </w:rPr>
        <w:t>in </w:t>
      </w:r>
      <w:r>
        <w:rPr>
          <w:spacing w:val="-3"/>
          <w:sz w:val="24"/>
        </w:rPr>
        <w:t>dealing with </w:t>
      </w:r>
      <w:r>
        <w:rPr>
          <w:sz w:val="24"/>
        </w:rPr>
        <w:t>all </w:t>
      </w:r>
      <w:r>
        <w:rPr>
          <w:spacing w:val="-3"/>
          <w:sz w:val="24"/>
        </w:rPr>
        <w:t>failure causes explicitly </w:t>
      </w:r>
      <w:r>
        <w:rPr>
          <w:sz w:val="24"/>
        </w:rPr>
        <w:t>in a </w:t>
      </w:r>
      <w:r>
        <w:rPr>
          <w:spacing w:val="-3"/>
          <w:sz w:val="24"/>
        </w:rPr>
        <w:t>satisfactory way, </w:t>
      </w:r>
      <w:r>
        <w:rPr>
          <w:sz w:val="24"/>
        </w:rPr>
        <w:t>it has no use to </w:t>
      </w:r>
      <w:r>
        <w:rPr>
          <w:spacing w:val="-3"/>
          <w:sz w:val="24"/>
        </w:rPr>
        <w:t>make refined analyses including system effect, accidental</w:t>
      </w:r>
      <w:r>
        <w:rPr>
          <w:spacing w:val="-6"/>
          <w:sz w:val="24"/>
        </w:rPr>
        <w:t> </w:t>
      </w:r>
      <w:r>
        <w:rPr>
          <w:spacing w:val="-3"/>
          <w:sz w:val="24"/>
        </w:rPr>
        <w:t>actions</w:t>
      </w:r>
      <w:r>
        <w:rPr>
          <w:spacing w:val="-6"/>
          <w:sz w:val="24"/>
        </w:rPr>
        <w:t> </w:t>
      </w:r>
      <w:r>
        <w:rPr>
          <w:sz w:val="24"/>
        </w:rPr>
        <w:t>and</w:t>
      </w:r>
      <w:r>
        <w:rPr>
          <w:spacing w:val="-6"/>
          <w:sz w:val="24"/>
        </w:rPr>
        <w:t> </w:t>
      </w:r>
      <w:r>
        <w:rPr>
          <w:sz w:val="24"/>
        </w:rPr>
        <w:t>so</w:t>
      </w:r>
      <w:r>
        <w:rPr>
          <w:spacing w:val="-6"/>
          <w:sz w:val="24"/>
        </w:rPr>
        <w:t> </w:t>
      </w:r>
      <w:r>
        <w:rPr>
          <w:sz w:val="24"/>
        </w:rPr>
        <w:t>on;</w:t>
      </w:r>
      <w:r>
        <w:rPr>
          <w:spacing w:val="-6"/>
          <w:sz w:val="24"/>
        </w:rPr>
        <w:t> </w:t>
      </w:r>
      <w:r>
        <w:rPr>
          <w:spacing w:val="-3"/>
          <w:sz w:val="24"/>
        </w:rPr>
        <w:t>this</w:t>
      </w:r>
      <w:r>
        <w:rPr>
          <w:spacing w:val="-6"/>
          <w:sz w:val="24"/>
        </w:rPr>
        <w:t> </w:t>
      </w:r>
      <w:r>
        <w:rPr>
          <w:spacing w:val="-3"/>
          <w:sz w:val="24"/>
        </w:rPr>
        <w:t>leads</w:t>
      </w:r>
      <w:r>
        <w:rPr>
          <w:spacing w:val="-6"/>
          <w:sz w:val="24"/>
        </w:rPr>
        <w:t> </w:t>
      </w:r>
      <w:r>
        <w:rPr>
          <w:sz w:val="24"/>
        </w:rPr>
        <w:t>to</w:t>
      </w:r>
      <w:r>
        <w:rPr>
          <w:spacing w:val="-6"/>
          <w:sz w:val="24"/>
        </w:rPr>
        <w:t> </w:t>
      </w:r>
      <w:r>
        <w:rPr>
          <w:sz w:val="24"/>
        </w:rPr>
        <w:t>the</w:t>
      </w:r>
      <w:r>
        <w:rPr>
          <w:spacing w:val="-6"/>
          <w:sz w:val="24"/>
        </w:rPr>
        <w:t> </w:t>
      </w:r>
      <w:r>
        <w:rPr>
          <w:sz w:val="24"/>
        </w:rPr>
        <w:t>use</w:t>
      </w:r>
      <w:r>
        <w:rPr>
          <w:spacing w:val="-6"/>
          <w:sz w:val="24"/>
        </w:rPr>
        <w:t> </w:t>
      </w:r>
      <w:r>
        <w:rPr>
          <w:sz w:val="24"/>
        </w:rPr>
        <w:t>of</w:t>
      </w:r>
      <w:r>
        <w:rPr>
          <w:spacing w:val="-6"/>
          <w:sz w:val="24"/>
        </w:rPr>
        <w:t> </w:t>
      </w:r>
      <w:r>
        <w:rPr>
          <w:sz w:val="24"/>
        </w:rPr>
        <w:t>the</w:t>
      </w:r>
      <w:r>
        <w:rPr>
          <w:spacing w:val="-6"/>
          <w:sz w:val="24"/>
        </w:rPr>
        <w:t> </w:t>
      </w:r>
      <w:r>
        <w:rPr>
          <w:spacing w:val="-3"/>
          <w:sz w:val="24"/>
        </w:rPr>
        <w:t>simplified</w:t>
      </w:r>
      <w:r>
        <w:rPr>
          <w:spacing w:val="-6"/>
          <w:sz w:val="24"/>
        </w:rPr>
        <w:t> </w:t>
      </w:r>
      <w:r>
        <w:rPr>
          <w:spacing w:val="-3"/>
          <w:sz w:val="24"/>
        </w:rPr>
        <w:t>procedure.</w:t>
      </w:r>
    </w:p>
    <w:p>
      <w:pPr>
        <w:pStyle w:val="ListParagraph"/>
        <w:numPr>
          <w:ilvl w:val="0"/>
          <w:numId w:val="15"/>
        </w:numPr>
        <w:tabs>
          <w:tab w:pos="898" w:val="left" w:leader="none"/>
        </w:tabs>
        <w:spacing w:line="312" w:lineRule="auto" w:before="3" w:after="0"/>
        <w:ind w:left="897" w:right="111" w:hanging="360"/>
        <w:jc w:val="both"/>
        <w:rPr>
          <w:sz w:val="24"/>
        </w:rPr>
      </w:pPr>
      <w:r>
        <w:rPr>
          <w:sz w:val="24"/>
        </w:rPr>
        <w:t>one </w:t>
      </w:r>
      <w:r>
        <w:rPr>
          <w:spacing w:val="-3"/>
          <w:sz w:val="24"/>
        </w:rPr>
        <w:t>might also eliminate </w:t>
      </w:r>
      <w:r>
        <w:rPr>
          <w:sz w:val="24"/>
        </w:rPr>
        <w:t>the use of an </w:t>
      </w:r>
      <w:r>
        <w:rPr>
          <w:spacing w:val="-3"/>
          <w:sz w:val="24"/>
        </w:rPr>
        <w:t>explicit robustness requirement (A1) </w:t>
      </w:r>
      <w:r>
        <w:rPr>
          <w:sz w:val="24"/>
        </w:rPr>
        <w:t>as </w:t>
      </w:r>
      <w:r>
        <w:rPr>
          <w:spacing w:val="-3"/>
          <w:sz w:val="24"/>
        </w:rPr>
        <w:t>much as possible </w:t>
      </w:r>
      <w:r>
        <w:rPr>
          <w:sz w:val="24"/>
        </w:rPr>
        <w:t>by </w:t>
      </w:r>
      <w:r>
        <w:rPr>
          <w:spacing w:val="-3"/>
          <w:sz w:val="24"/>
        </w:rPr>
        <w:t>taking into </w:t>
      </w:r>
      <w:r>
        <w:rPr>
          <w:sz w:val="24"/>
        </w:rPr>
        <w:t>the </w:t>
      </w:r>
      <w:r>
        <w:rPr>
          <w:spacing w:val="-3"/>
          <w:sz w:val="24"/>
        </w:rPr>
        <w:t>design </w:t>
      </w:r>
      <w:r>
        <w:rPr>
          <w:sz w:val="24"/>
        </w:rPr>
        <w:t>as </w:t>
      </w:r>
      <w:r>
        <w:rPr>
          <w:spacing w:val="-3"/>
          <w:sz w:val="24"/>
        </w:rPr>
        <w:t>many aspects explicitly </w:t>
      </w:r>
      <w:r>
        <w:rPr>
          <w:sz w:val="24"/>
        </w:rPr>
        <w:t>as</w:t>
      </w:r>
      <w:r>
        <w:rPr>
          <w:spacing w:val="-33"/>
          <w:sz w:val="24"/>
        </w:rPr>
        <w:t> </w:t>
      </w:r>
      <w:r>
        <w:rPr>
          <w:spacing w:val="-3"/>
          <w:sz w:val="24"/>
        </w:rPr>
        <w:t>possible.</w:t>
      </w:r>
    </w:p>
    <w:p>
      <w:pPr>
        <w:pStyle w:val="BodyText"/>
        <w:spacing w:before="6"/>
        <w:rPr>
          <w:sz w:val="31"/>
        </w:rPr>
      </w:pPr>
    </w:p>
    <w:p>
      <w:pPr>
        <w:pStyle w:val="BodyText"/>
        <w:spacing w:line="312" w:lineRule="auto"/>
        <w:ind w:left="177" w:right="111"/>
        <w:jc w:val="both"/>
      </w:pPr>
      <w:r>
        <w:rPr>
          <w:spacing w:val="-3"/>
        </w:rPr>
        <w:t>Stated </w:t>
      </w:r>
      <w:r>
        <w:rPr/>
        <w:t>as </w:t>
      </w:r>
      <w:r>
        <w:rPr>
          <w:spacing w:val="-3"/>
        </w:rPr>
        <w:t>such </w:t>
      </w:r>
      <w:r>
        <w:rPr/>
        <w:t>it </w:t>
      </w:r>
      <w:r>
        <w:rPr>
          <w:spacing w:val="-3"/>
        </w:rPr>
        <w:t>seems that </w:t>
      </w:r>
      <w:r>
        <w:rPr/>
        <w:t>the </w:t>
      </w:r>
      <w:r>
        <w:rPr>
          <w:spacing w:val="-3"/>
        </w:rPr>
        <w:t>second approach </w:t>
      </w:r>
      <w:r>
        <w:rPr/>
        <w:t>is </w:t>
      </w:r>
      <w:r>
        <w:rPr>
          <w:spacing w:val="-3"/>
        </w:rPr>
        <w:t>more rational, </w:t>
      </w:r>
      <w:r>
        <w:rPr/>
        <w:t>as it </w:t>
      </w:r>
      <w:r>
        <w:rPr>
          <w:spacing w:val="-3"/>
        </w:rPr>
        <w:t>offers </w:t>
      </w:r>
      <w:r>
        <w:rPr/>
        <w:t>the </w:t>
      </w:r>
      <w:r>
        <w:rPr>
          <w:spacing w:val="-3"/>
        </w:rPr>
        <w:t>possibility to reduce </w:t>
      </w:r>
      <w:r>
        <w:rPr/>
        <w:t>the </w:t>
      </w:r>
      <w:r>
        <w:rPr>
          <w:spacing w:val="-3"/>
        </w:rPr>
        <w:t>risks </w:t>
      </w:r>
      <w:r>
        <w:rPr/>
        <w:t>in the </w:t>
      </w:r>
      <w:r>
        <w:rPr>
          <w:spacing w:val="-3"/>
        </w:rPr>
        <w:t>most economical way, e.g. </w:t>
      </w:r>
      <w:r>
        <w:rPr/>
        <w:t>by </w:t>
      </w:r>
      <w:r>
        <w:rPr>
          <w:spacing w:val="-3"/>
        </w:rPr>
        <w:t>sprinklers (for fire), barriers (for collision), </w:t>
      </w:r>
      <w:r>
        <w:rPr/>
        <w:t>QA </w:t>
      </w:r>
      <w:r>
        <w:rPr>
          <w:spacing w:val="-3"/>
        </w:rPr>
        <w:t>(for errors), relief openings (for explosions), artificial damping (for earth quake), maintenance (for deterioration) </w:t>
      </w:r>
      <w:r>
        <w:rPr/>
        <w:t>and so </w:t>
      </w:r>
      <w:r>
        <w:rPr>
          <w:spacing w:val="-3"/>
        </w:rPr>
        <w:t>on.</w:t>
      </w:r>
    </w:p>
    <w:p>
      <w:pPr>
        <w:spacing w:after="0" w:line="312" w:lineRule="auto"/>
        <w:jc w:val="both"/>
        <w:sectPr>
          <w:pgSz w:w="11910" w:h="16840"/>
          <w:pgMar w:header="0" w:footer="788" w:top="1460" w:bottom="980" w:left="1240" w:right="1300"/>
        </w:sectPr>
      </w:pPr>
    </w:p>
    <w:p>
      <w:pPr>
        <w:pStyle w:val="BodyText"/>
        <w:rPr>
          <w:sz w:val="20"/>
        </w:rPr>
      </w:pPr>
    </w:p>
    <w:p>
      <w:pPr>
        <w:pStyle w:val="BodyText"/>
        <w:spacing w:before="9"/>
        <w:rPr>
          <w:sz w:val="17"/>
        </w:rPr>
      </w:pPr>
    </w:p>
    <w:p>
      <w:pPr>
        <w:pStyle w:val="Heading2"/>
        <w:numPr>
          <w:ilvl w:val="0"/>
          <w:numId w:val="2"/>
        </w:numPr>
        <w:tabs>
          <w:tab w:pos="538" w:val="left" w:leader="none"/>
        </w:tabs>
        <w:spacing w:line="240" w:lineRule="auto" w:before="90" w:after="0"/>
        <w:ind w:left="537" w:right="0" w:hanging="360"/>
        <w:jc w:val="left"/>
        <w:rPr>
          <w:sz w:val="22"/>
        </w:rPr>
      </w:pPr>
      <w:bookmarkStart w:name="_TOC_250016" w:id="34"/>
      <w:r>
        <w:rPr/>
        <w:t>Annex B:</w:t>
      </w:r>
      <w:r>
        <w:rPr>
          <w:spacing w:val="-2"/>
        </w:rPr>
        <w:t> </w:t>
      </w:r>
      <w:bookmarkEnd w:id="34"/>
      <w:r>
        <w:rPr/>
        <w:t>Durability</w:t>
      </w:r>
    </w:p>
    <w:p>
      <w:pPr>
        <w:pStyle w:val="Heading2"/>
        <w:numPr>
          <w:ilvl w:val="1"/>
          <w:numId w:val="2"/>
        </w:numPr>
        <w:tabs>
          <w:tab w:pos="1144" w:val="left" w:leader="none"/>
          <w:tab w:pos="1145" w:val="left" w:leader="none"/>
        </w:tabs>
        <w:spacing w:line="240" w:lineRule="auto" w:before="124" w:after="0"/>
        <w:ind w:left="1144" w:right="0" w:hanging="967"/>
        <w:jc w:val="left"/>
        <w:rPr>
          <w:sz w:val="22"/>
        </w:rPr>
      </w:pPr>
      <w:bookmarkStart w:name="_TOC_250015" w:id="35"/>
      <w:bookmarkEnd w:id="35"/>
      <w:r>
        <w:rPr/>
        <w:t>Probabilistic Formulations</w:t>
      </w:r>
    </w:p>
    <w:p>
      <w:pPr>
        <w:pStyle w:val="BodyText"/>
        <w:spacing w:line="312" w:lineRule="auto" w:before="202"/>
        <w:ind w:left="177" w:right="111"/>
        <w:jc w:val="both"/>
      </w:pPr>
      <w:r>
        <w:rPr/>
        <w:t>Loads as well as material properties may vary in time as stationary or non-stationary processes. Time may also be present in the limit state function as an explicit parameter. As a result, the failure probability of a structure is also time dependent. The general formulation  for the failure probability for a period of time t may be presented</w:t>
      </w:r>
      <w:r>
        <w:rPr>
          <w:spacing w:val="-4"/>
        </w:rPr>
        <w:t> </w:t>
      </w:r>
      <w:r>
        <w:rPr/>
        <w:t>as:</w:t>
      </w:r>
    </w:p>
    <w:p>
      <w:pPr>
        <w:pStyle w:val="BodyText"/>
        <w:spacing w:before="9"/>
        <w:rPr>
          <w:sz w:val="30"/>
        </w:rPr>
      </w:pPr>
    </w:p>
    <w:p>
      <w:pPr>
        <w:tabs>
          <w:tab w:pos="8687" w:val="left" w:leader="none"/>
        </w:tabs>
        <w:spacing w:before="1"/>
        <w:ind w:left="886" w:right="0" w:firstLine="0"/>
        <w:jc w:val="left"/>
        <w:rPr>
          <w:sz w:val="24"/>
        </w:rPr>
      </w:pPr>
      <w:r>
        <w:rPr>
          <w:i/>
          <w:w w:val="105"/>
          <w:sz w:val="24"/>
        </w:rPr>
        <w:t>P</w:t>
      </w:r>
      <w:r>
        <w:rPr>
          <w:i/>
          <w:w w:val="105"/>
          <w:sz w:val="24"/>
          <w:vertAlign w:val="subscript"/>
        </w:rPr>
        <w:t>F</w:t>
      </w:r>
      <w:r>
        <w:rPr>
          <w:i/>
          <w:spacing w:val="-40"/>
          <w:w w:val="105"/>
          <w:sz w:val="24"/>
          <w:vertAlign w:val="baseline"/>
        </w:rPr>
        <w:t> </w:t>
      </w:r>
      <w:r>
        <w:rPr>
          <w:i/>
          <w:w w:val="105"/>
          <w:sz w:val="24"/>
          <w:vertAlign w:val="baseline"/>
        </w:rPr>
        <w:t>(</w:t>
      </w:r>
      <w:r>
        <w:rPr>
          <w:i/>
          <w:spacing w:val="-11"/>
          <w:w w:val="105"/>
          <w:sz w:val="24"/>
          <w:vertAlign w:val="baseline"/>
        </w:rPr>
        <w:t> </w:t>
      </w:r>
      <w:r>
        <w:rPr>
          <w:i/>
          <w:w w:val="105"/>
          <w:sz w:val="24"/>
          <w:vertAlign w:val="baseline"/>
        </w:rPr>
        <w:t>t</w:t>
      </w:r>
      <w:r>
        <w:rPr>
          <w:i/>
          <w:spacing w:val="-9"/>
          <w:w w:val="105"/>
          <w:sz w:val="24"/>
          <w:vertAlign w:val="baseline"/>
        </w:rPr>
        <w:t> </w:t>
      </w:r>
      <w:r>
        <w:rPr>
          <w:i/>
          <w:w w:val="105"/>
          <w:sz w:val="24"/>
          <w:vertAlign w:val="baseline"/>
        </w:rPr>
        <w:t>)</w:t>
      </w:r>
      <w:r>
        <w:rPr>
          <w:i/>
          <w:spacing w:val="42"/>
          <w:w w:val="105"/>
          <w:sz w:val="24"/>
          <w:vertAlign w:val="baseline"/>
        </w:rPr>
        <w:t> </w:t>
      </w:r>
      <w:r>
        <w:rPr>
          <w:w w:val="105"/>
          <w:sz w:val="24"/>
          <w:vertAlign w:val="baseline"/>
        </w:rPr>
        <w:t>=</w:t>
      </w:r>
      <w:r>
        <w:rPr>
          <w:spacing w:val="-9"/>
          <w:w w:val="105"/>
          <w:sz w:val="24"/>
          <w:vertAlign w:val="baseline"/>
        </w:rPr>
        <w:t> </w:t>
      </w:r>
      <w:r>
        <w:rPr>
          <w:i/>
          <w:w w:val="105"/>
          <w:sz w:val="24"/>
          <w:vertAlign w:val="baseline"/>
        </w:rPr>
        <w:t>P</w:t>
      </w:r>
      <w:r>
        <w:rPr>
          <w:i/>
          <w:spacing w:val="-10"/>
          <w:w w:val="105"/>
          <w:sz w:val="24"/>
          <w:vertAlign w:val="baseline"/>
        </w:rPr>
        <w:t> </w:t>
      </w:r>
      <w:r>
        <w:rPr>
          <w:b/>
          <w:w w:val="105"/>
          <w:sz w:val="24"/>
          <w:vertAlign w:val="baseline"/>
        </w:rPr>
        <w:t>[</w:t>
      </w:r>
      <w:r>
        <w:rPr>
          <w:b/>
          <w:spacing w:val="-9"/>
          <w:w w:val="105"/>
          <w:sz w:val="24"/>
          <w:vertAlign w:val="baseline"/>
        </w:rPr>
        <w:t> </w:t>
      </w:r>
      <w:r>
        <w:rPr>
          <w:i/>
          <w:w w:val="105"/>
          <w:sz w:val="24"/>
          <w:vertAlign w:val="baseline"/>
        </w:rPr>
        <w:t>min</w:t>
      </w:r>
      <w:r>
        <w:rPr>
          <w:i/>
          <w:spacing w:val="-10"/>
          <w:w w:val="105"/>
          <w:sz w:val="24"/>
          <w:vertAlign w:val="baseline"/>
        </w:rPr>
        <w:t> </w:t>
      </w:r>
      <w:r>
        <w:rPr>
          <w:i/>
          <w:w w:val="105"/>
          <w:sz w:val="24"/>
          <w:vertAlign w:val="baseline"/>
        </w:rPr>
        <w:t>g</w:t>
      </w:r>
      <w:r>
        <w:rPr>
          <w:rFonts w:ascii="TimesNewRomanPS-BoldItalicMT" w:hAnsi="TimesNewRomanPS-BoldItalicMT"/>
          <w:b/>
          <w:i/>
          <w:w w:val="105"/>
          <w:sz w:val="24"/>
          <w:vertAlign w:val="baseline"/>
        </w:rPr>
        <w:t>(</w:t>
      </w:r>
      <w:r>
        <w:rPr>
          <w:rFonts w:ascii="TimesNewRomanPS-BoldItalicMT" w:hAnsi="TimesNewRomanPS-BoldItalicMT"/>
          <w:b/>
          <w:i/>
          <w:spacing w:val="-9"/>
          <w:w w:val="105"/>
          <w:sz w:val="24"/>
          <w:vertAlign w:val="baseline"/>
        </w:rPr>
        <w:t> </w:t>
      </w:r>
      <w:r>
        <w:rPr>
          <w:b/>
          <w:w w:val="105"/>
          <w:sz w:val="24"/>
          <w:vertAlign w:val="baseline"/>
        </w:rPr>
        <w:t>x</w:t>
      </w:r>
      <w:r>
        <w:rPr>
          <w:i/>
          <w:w w:val="105"/>
          <w:sz w:val="24"/>
          <w:vertAlign w:val="baseline"/>
        </w:rPr>
        <w:t>(</w:t>
      </w:r>
      <w:r>
        <w:rPr>
          <w:rFonts w:ascii="Arial" w:hAnsi="Arial"/>
          <w:i/>
          <w:w w:val="105"/>
          <w:sz w:val="25"/>
          <w:vertAlign w:val="baseline"/>
        </w:rPr>
        <w:t>τ</w:t>
      </w:r>
      <w:r>
        <w:rPr>
          <w:i/>
          <w:w w:val="105"/>
          <w:sz w:val="24"/>
          <w:vertAlign w:val="baseline"/>
        </w:rPr>
        <w:t>);</w:t>
      </w:r>
      <w:r>
        <w:rPr>
          <w:rFonts w:ascii="Arial" w:hAnsi="Arial"/>
          <w:i/>
          <w:w w:val="105"/>
          <w:sz w:val="25"/>
          <w:vertAlign w:val="baseline"/>
        </w:rPr>
        <w:t>τ</w:t>
      </w:r>
      <w:r>
        <w:rPr>
          <w:rFonts w:ascii="Arial" w:hAnsi="Arial"/>
          <w:i/>
          <w:spacing w:val="-20"/>
          <w:w w:val="105"/>
          <w:sz w:val="25"/>
          <w:vertAlign w:val="baseline"/>
        </w:rPr>
        <w:t> </w:t>
      </w:r>
      <w:r>
        <w:rPr>
          <w:rFonts w:ascii="TimesNewRomanPS-BoldItalicMT" w:hAnsi="TimesNewRomanPS-BoldItalicMT"/>
          <w:b/>
          <w:i/>
          <w:w w:val="105"/>
          <w:sz w:val="24"/>
          <w:vertAlign w:val="baseline"/>
        </w:rPr>
        <w:t>)</w:t>
      </w:r>
      <w:r>
        <w:rPr>
          <w:rFonts w:ascii="TimesNewRomanPS-BoldItalicMT" w:hAnsi="TimesNewRomanPS-BoldItalicMT"/>
          <w:b/>
          <w:i/>
          <w:spacing w:val="-9"/>
          <w:w w:val="105"/>
          <w:sz w:val="24"/>
          <w:vertAlign w:val="baseline"/>
        </w:rPr>
        <w:t> </w:t>
      </w:r>
      <w:r>
        <w:rPr>
          <w:i/>
          <w:w w:val="105"/>
          <w:sz w:val="24"/>
          <w:vertAlign w:val="baseline"/>
        </w:rPr>
        <w:t>&lt;</w:t>
      </w:r>
      <w:r>
        <w:rPr>
          <w:i/>
          <w:spacing w:val="-9"/>
          <w:w w:val="105"/>
          <w:sz w:val="24"/>
          <w:vertAlign w:val="baseline"/>
        </w:rPr>
        <w:t> </w:t>
      </w:r>
      <w:r>
        <w:rPr>
          <w:i/>
          <w:w w:val="105"/>
          <w:sz w:val="24"/>
          <w:vertAlign w:val="baseline"/>
        </w:rPr>
        <w:t>0</w:t>
      </w:r>
      <w:r>
        <w:rPr>
          <w:i/>
          <w:spacing w:val="45"/>
          <w:w w:val="105"/>
          <w:sz w:val="24"/>
          <w:vertAlign w:val="baseline"/>
        </w:rPr>
        <w:t> </w:t>
      </w:r>
      <w:r>
        <w:rPr>
          <w:i/>
          <w:w w:val="105"/>
          <w:sz w:val="24"/>
          <w:vertAlign w:val="baseline"/>
        </w:rPr>
        <w:t>for</w:t>
      </w:r>
      <w:r>
        <w:rPr>
          <w:i/>
          <w:spacing w:val="-9"/>
          <w:w w:val="105"/>
          <w:sz w:val="24"/>
          <w:vertAlign w:val="baseline"/>
        </w:rPr>
        <w:t> </w:t>
      </w:r>
      <w:r>
        <w:rPr>
          <w:i/>
          <w:w w:val="105"/>
          <w:sz w:val="24"/>
          <w:vertAlign w:val="baseline"/>
        </w:rPr>
        <w:t>0</w:t>
      </w:r>
      <w:r>
        <w:rPr>
          <w:i/>
          <w:spacing w:val="-9"/>
          <w:w w:val="105"/>
          <w:sz w:val="24"/>
          <w:vertAlign w:val="baseline"/>
        </w:rPr>
        <w:t> </w:t>
      </w:r>
      <w:r>
        <w:rPr>
          <w:i/>
          <w:w w:val="105"/>
          <w:sz w:val="24"/>
          <w:vertAlign w:val="baseline"/>
        </w:rPr>
        <w:t>&lt;</w:t>
      </w:r>
      <w:r>
        <w:rPr>
          <w:i/>
          <w:spacing w:val="-9"/>
          <w:w w:val="105"/>
          <w:sz w:val="24"/>
          <w:vertAlign w:val="baseline"/>
        </w:rPr>
        <w:t> </w:t>
      </w:r>
      <w:r>
        <w:rPr>
          <w:rFonts w:ascii="Arial" w:hAnsi="Arial"/>
          <w:i/>
          <w:w w:val="105"/>
          <w:sz w:val="25"/>
          <w:vertAlign w:val="baseline"/>
        </w:rPr>
        <w:t>τ</w:t>
      </w:r>
      <w:r>
        <w:rPr>
          <w:rFonts w:ascii="Arial" w:hAnsi="Arial"/>
          <w:i/>
          <w:spacing w:val="-20"/>
          <w:w w:val="105"/>
          <w:sz w:val="25"/>
          <w:vertAlign w:val="baseline"/>
        </w:rPr>
        <w:t> </w:t>
      </w:r>
      <w:r>
        <w:rPr>
          <w:i/>
          <w:w w:val="105"/>
          <w:sz w:val="24"/>
          <w:vertAlign w:val="baseline"/>
        </w:rPr>
        <w:t>&lt;</w:t>
      </w:r>
      <w:r>
        <w:rPr>
          <w:i/>
          <w:spacing w:val="-9"/>
          <w:w w:val="105"/>
          <w:sz w:val="24"/>
          <w:vertAlign w:val="baseline"/>
        </w:rPr>
        <w:t> </w:t>
      </w:r>
      <w:r>
        <w:rPr>
          <w:i/>
          <w:w w:val="105"/>
          <w:sz w:val="24"/>
          <w:vertAlign w:val="baseline"/>
        </w:rPr>
        <w:t>t</w:t>
      </w:r>
      <w:r>
        <w:rPr>
          <w:i/>
          <w:spacing w:val="-9"/>
          <w:w w:val="105"/>
          <w:sz w:val="24"/>
          <w:vertAlign w:val="baseline"/>
        </w:rPr>
        <w:t> </w:t>
      </w:r>
      <w:r>
        <w:rPr>
          <w:b/>
          <w:w w:val="105"/>
          <w:sz w:val="24"/>
          <w:vertAlign w:val="baseline"/>
        </w:rPr>
        <w:t>]</w:t>
        <w:tab/>
      </w:r>
      <w:r>
        <w:rPr>
          <w:w w:val="105"/>
          <w:sz w:val="24"/>
          <w:vertAlign w:val="baseline"/>
        </w:rPr>
        <w:t>(B1)</w:t>
      </w:r>
    </w:p>
    <w:p>
      <w:pPr>
        <w:pStyle w:val="BodyText"/>
        <w:spacing w:before="5"/>
        <w:rPr>
          <w:sz w:val="38"/>
        </w:rPr>
      </w:pPr>
    </w:p>
    <w:p>
      <w:pPr>
        <w:pStyle w:val="BodyText"/>
        <w:spacing w:before="1"/>
        <w:ind w:left="177"/>
        <w:jc w:val="both"/>
      </w:pPr>
      <w:r>
        <w:rPr>
          <w:i/>
        </w:rPr>
        <w:t>g(.) </w:t>
      </w:r>
      <w:r>
        <w:rPr/>
        <w:t>= limit state function</w:t>
      </w:r>
    </w:p>
    <w:p>
      <w:pPr>
        <w:pStyle w:val="BodyText"/>
        <w:spacing w:before="73"/>
        <w:ind w:left="177"/>
        <w:jc w:val="both"/>
        <w:rPr>
          <w:rFonts w:ascii="Arial" w:hAnsi="Arial"/>
        </w:rPr>
      </w:pPr>
      <w:r>
        <w:rPr>
          <w:b/>
        </w:rPr>
        <w:t>x</w:t>
      </w:r>
      <w:r>
        <w:rPr/>
        <w:t>(</w:t>
      </w:r>
      <w:r>
        <w:rPr>
          <w:rFonts w:ascii="Arial" w:hAnsi="Arial"/>
          <w:i/>
          <w:sz w:val="25"/>
        </w:rPr>
        <w:t>τ</w:t>
      </w:r>
      <w:r>
        <w:rPr/>
        <w:t>) = vector of basic variable at time </w:t>
      </w:r>
      <w:r>
        <w:rPr>
          <w:rFonts w:ascii="Arial" w:hAnsi="Arial"/>
        </w:rPr>
        <w:t>τ</w:t>
      </w:r>
    </w:p>
    <w:p>
      <w:pPr>
        <w:pStyle w:val="BodyText"/>
        <w:tabs>
          <w:tab w:pos="886" w:val="left" w:leader="none"/>
        </w:tabs>
        <w:spacing w:before="83"/>
        <w:ind w:left="177"/>
        <w:jc w:val="both"/>
      </w:pPr>
      <w:r>
        <w:rPr>
          <w:i/>
        </w:rPr>
        <w:t>t</w:t>
        <w:tab/>
      </w:r>
      <w:r>
        <w:rPr/>
        <w:t>= period of time under</w:t>
      </w:r>
      <w:r>
        <w:rPr>
          <w:spacing w:val="-1"/>
        </w:rPr>
        <w:t> </w:t>
      </w:r>
      <w:r>
        <w:rPr/>
        <w:t>consideration</w:t>
      </w:r>
    </w:p>
    <w:p>
      <w:pPr>
        <w:spacing w:before="74"/>
        <w:ind w:left="177" w:right="0" w:firstLine="0"/>
        <w:jc w:val="both"/>
        <w:rPr>
          <w:sz w:val="24"/>
        </w:rPr>
      </w:pPr>
      <w:r>
        <w:rPr>
          <w:rFonts w:ascii="Arial" w:hAnsi="Arial"/>
          <w:i/>
          <w:sz w:val="25"/>
        </w:rPr>
        <w:t>τ </w:t>
      </w:r>
      <w:r>
        <w:rPr>
          <w:sz w:val="24"/>
        </w:rPr>
        <w:t>= time</w:t>
      </w:r>
    </w:p>
    <w:p>
      <w:pPr>
        <w:pStyle w:val="BodyText"/>
        <w:spacing w:before="5"/>
        <w:rPr>
          <w:sz w:val="38"/>
        </w:rPr>
      </w:pPr>
    </w:p>
    <w:p>
      <w:pPr>
        <w:pStyle w:val="BodyText"/>
        <w:spacing w:line="312" w:lineRule="auto" w:before="1"/>
        <w:ind w:left="177" w:right="111"/>
        <w:jc w:val="both"/>
      </w:pPr>
      <w:r>
        <w:rPr/>
        <w:t>The failure may be of ULS as well as SLS type. One should keep in mind that also in the case of a non-deteriorating time independent resistance and a stationary loading condition, the failure probability is also time dependent due to the random fluctuations of the load. This, however, is usually not considered as a durability problem.</w:t>
      </w:r>
    </w:p>
    <w:p>
      <w:pPr>
        <w:pStyle w:val="BodyText"/>
        <w:spacing w:before="8"/>
        <w:rPr>
          <w:sz w:val="31"/>
        </w:rPr>
      </w:pPr>
    </w:p>
    <w:p>
      <w:pPr>
        <w:pStyle w:val="BodyText"/>
        <w:spacing w:line="312" w:lineRule="auto"/>
        <w:ind w:left="177"/>
      </w:pPr>
      <w:r>
        <w:rPr/>
        <w:t>Given (B1), the conditional failure rate (also referred to as risk functions) at time t may be found as:</w:t>
      </w:r>
    </w:p>
    <w:p>
      <w:pPr>
        <w:pStyle w:val="BodyText"/>
        <w:spacing w:before="3"/>
        <w:rPr>
          <w:sz w:val="21"/>
        </w:rPr>
      </w:pPr>
    </w:p>
    <w:p>
      <w:pPr>
        <w:spacing w:line="121" w:lineRule="exact" w:before="96"/>
        <w:ind w:left="2435" w:right="216" w:firstLine="0"/>
        <w:jc w:val="center"/>
        <w:rPr>
          <w:sz w:val="22"/>
        </w:rPr>
      </w:pPr>
      <w:r>
        <w:rPr/>
        <w:pict>
          <v:group style="position:absolute;margin-left:142.799362pt;margin-top:-1.557646pt;width:177.45pt;height:21.45pt;mso-position-horizontal-relative:page;mso-position-vertical-relative:paragraph;z-index:1120" coordorigin="2856,-31" coordsize="3549,429">
            <v:line style="position:absolute" from="4949,88" to="4949,358" stroked="true" strokeweight=".442233pt" strokecolor="#000000">
              <v:stroke dashstyle="solid"/>
            </v:line>
            <v:line style="position:absolute" from="2856,392" to="6404,392" stroked="true" strokeweight=".46815pt" strokecolor="#000000">
              <v:stroke dashstyle="solid"/>
            </v:line>
            <v:shape style="position:absolute;left:2855;top:-32;width:3549;height:429" type="#_x0000_t202" filled="false" stroked="false">
              <v:textbox inset="0,0,0,0">
                <w:txbxContent>
                  <w:p>
                    <w:pPr>
                      <w:spacing w:before="19"/>
                      <w:ind w:left="20" w:right="0" w:firstLine="0"/>
                      <w:jc w:val="left"/>
                      <w:rPr>
                        <w:sz w:val="22"/>
                      </w:rPr>
                    </w:pPr>
                    <w:r>
                      <w:rPr>
                        <w:i/>
                        <w:sz w:val="22"/>
                      </w:rPr>
                      <w:t>P</w:t>
                    </w:r>
                    <w:r>
                      <w:rPr>
                        <w:sz w:val="22"/>
                      </w:rPr>
                      <w:t>( </w:t>
                    </w:r>
                    <w:r>
                      <w:rPr>
                        <w:i/>
                        <w:sz w:val="22"/>
                      </w:rPr>
                      <w:t>failure in </w:t>
                    </w:r>
                    <w:r>
                      <w:rPr>
                        <w:rFonts w:ascii="Arial" w:hAnsi="Arial"/>
                        <w:sz w:val="31"/>
                      </w:rPr>
                      <w:t>[</w:t>
                    </w:r>
                    <w:r>
                      <w:rPr>
                        <w:i/>
                        <w:sz w:val="22"/>
                      </w:rPr>
                      <w:t>t</w:t>
                    </w:r>
                    <w:r>
                      <w:rPr>
                        <w:sz w:val="22"/>
                      </w:rPr>
                      <w:t>, </w:t>
                    </w:r>
                    <w:r>
                      <w:rPr>
                        <w:i/>
                        <w:sz w:val="22"/>
                      </w:rPr>
                      <w:t>t </w:t>
                    </w:r>
                    <w:r>
                      <w:rPr>
                        <w:rFonts w:ascii="Arial" w:hAnsi="Arial"/>
                        <w:sz w:val="22"/>
                      </w:rPr>
                      <w:t>+ Δ</w:t>
                    </w:r>
                    <w:r>
                      <w:rPr>
                        <w:i/>
                        <w:sz w:val="22"/>
                      </w:rPr>
                      <w:t>t</w:t>
                    </w:r>
                    <w:r>
                      <w:rPr>
                        <w:rFonts w:ascii="Arial" w:hAnsi="Arial"/>
                        <w:sz w:val="31"/>
                      </w:rPr>
                      <w:t>] </w:t>
                    </w:r>
                    <w:r>
                      <w:rPr>
                        <w:i/>
                        <w:sz w:val="22"/>
                      </w:rPr>
                      <w:t>survival up t </w:t>
                    </w:r>
                    <w:r>
                      <w:rPr>
                        <w:sz w:val="22"/>
                      </w:rPr>
                      <w:t>)</w:t>
                    </w:r>
                  </w:p>
                </w:txbxContent>
              </v:textbox>
              <w10:wrap type="none"/>
            </v:shape>
            <w10:wrap type="none"/>
          </v:group>
        </w:pict>
      </w:r>
      <w:r>
        <w:rPr>
          <w:i/>
          <w:sz w:val="22"/>
        </w:rPr>
        <w:t>p  </w:t>
      </w:r>
      <w:r>
        <w:rPr>
          <w:sz w:val="22"/>
        </w:rPr>
        <w:t>(</w:t>
      </w:r>
      <w:r>
        <w:rPr>
          <w:i/>
          <w:sz w:val="22"/>
        </w:rPr>
        <w:t>t</w:t>
      </w:r>
      <w:r>
        <w:rPr>
          <w:sz w:val="22"/>
        </w:rPr>
        <w:t>)</w:t>
      </w:r>
    </w:p>
    <w:p>
      <w:pPr>
        <w:spacing w:after="0" w:line="121" w:lineRule="exact"/>
        <w:jc w:val="center"/>
        <w:rPr>
          <w:sz w:val="22"/>
        </w:rPr>
        <w:sectPr>
          <w:pgSz w:w="11910" w:h="16840"/>
          <w:pgMar w:header="0" w:footer="788" w:top="1600" w:bottom="980" w:left="1240" w:right="1300"/>
        </w:sectPr>
      </w:pPr>
    </w:p>
    <w:p>
      <w:pPr>
        <w:spacing w:line="266" w:lineRule="exact" w:before="0"/>
        <w:ind w:left="886" w:right="0" w:firstLine="0"/>
        <w:jc w:val="left"/>
        <w:rPr>
          <w:sz w:val="24"/>
        </w:rPr>
      </w:pPr>
      <w:r>
        <w:rPr>
          <w:i/>
          <w:sz w:val="24"/>
        </w:rPr>
        <w:t>r( t ) </w:t>
      </w:r>
      <w:r>
        <w:rPr>
          <w:sz w:val="24"/>
        </w:rPr>
        <w:t>=</w:t>
      </w:r>
    </w:p>
    <w:p>
      <w:pPr>
        <w:tabs>
          <w:tab w:pos="454" w:val="left" w:leader="none"/>
          <w:tab w:pos="916" w:val="left" w:leader="none"/>
        </w:tabs>
        <w:spacing w:line="139" w:lineRule="auto" w:before="67"/>
        <w:ind w:left="0" w:right="38" w:firstLine="0"/>
        <w:jc w:val="right"/>
        <w:rPr>
          <w:i/>
          <w:sz w:val="13"/>
        </w:rPr>
      </w:pPr>
      <w:r>
        <w:rPr/>
        <w:br w:type="column"/>
      </w:r>
      <w:r>
        <w:rPr>
          <w:rFonts w:ascii="Arial"/>
          <w:position w:val="-8"/>
          <w:sz w:val="22"/>
        </w:rPr>
        <w:t>=</w:t>
      </w:r>
      <w:r>
        <w:rPr>
          <w:rFonts w:ascii="Arial"/>
          <w:sz w:val="22"/>
          <w:u w:val="single"/>
        </w:rPr>
        <w:t> </w:t>
        <w:tab/>
      </w:r>
      <w:r>
        <w:rPr>
          <w:i/>
          <w:spacing w:val="-1"/>
          <w:sz w:val="13"/>
          <w:u w:val="single"/>
        </w:rPr>
        <w:t>F</w:t>
        <w:tab/>
      </w:r>
    </w:p>
    <w:p>
      <w:pPr>
        <w:tabs>
          <w:tab w:pos="2115" w:val="left" w:leader="none"/>
        </w:tabs>
        <w:spacing w:line="275" w:lineRule="exact" w:before="0"/>
        <w:ind w:left="0" w:right="43" w:firstLine="0"/>
        <w:jc w:val="right"/>
        <w:rPr>
          <w:sz w:val="22"/>
        </w:rPr>
      </w:pPr>
      <w:r>
        <w:rPr>
          <w:rFonts w:ascii="Arial" w:hAnsi="Arial"/>
          <w:spacing w:val="7"/>
          <w:sz w:val="22"/>
        </w:rPr>
        <w:t>Δ</w:t>
      </w:r>
      <w:r>
        <w:rPr>
          <w:i/>
          <w:spacing w:val="7"/>
          <w:sz w:val="22"/>
        </w:rPr>
        <w:t>t</w:t>
        <w:tab/>
      </w:r>
      <w:r>
        <w:rPr>
          <w:spacing w:val="6"/>
          <w:sz w:val="22"/>
        </w:rPr>
        <w:t>1</w:t>
      </w:r>
      <w:r>
        <w:rPr>
          <w:rFonts w:ascii="Arial" w:hAnsi="Arial"/>
          <w:spacing w:val="6"/>
          <w:sz w:val="22"/>
        </w:rPr>
        <w:t>− </w:t>
      </w:r>
      <w:r>
        <w:rPr>
          <w:i/>
          <w:spacing w:val="-15"/>
          <w:sz w:val="22"/>
        </w:rPr>
        <w:t>P</w:t>
      </w:r>
      <w:r>
        <w:rPr>
          <w:i/>
          <w:spacing w:val="-15"/>
          <w:position w:val="-5"/>
          <w:sz w:val="13"/>
        </w:rPr>
        <w:t>F</w:t>
      </w:r>
      <w:r>
        <w:rPr>
          <w:i/>
          <w:spacing w:val="-20"/>
          <w:position w:val="-5"/>
          <w:sz w:val="13"/>
        </w:rPr>
        <w:t> </w:t>
      </w:r>
      <w:r>
        <w:rPr>
          <w:sz w:val="22"/>
        </w:rPr>
        <w:t>(</w:t>
      </w:r>
      <w:r>
        <w:rPr>
          <w:i/>
          <w:sz w:val="22"/>
        </w:rPr>
        <w:t>t</w:t>
      </w:r>
      <w:r>
        <w:rPr>
          <w:sz w:val="22"/>
        </w:rPr>
        <w:t>)</w:t>
      </w:r>
    </w:p>
    <w:p>
      <w:pPr>
        <w:pStyle w:val="BodyText"/>
        <w:spacing w:line="266" w:lineRule="exact"/>
        <w:ind w:left="692" w:right="749"/>
        <w:jc w:val="center"/>
      </w:pPr>
      <w:r>
        <w:rPr/>
        <w:br w:type="column"/>
      </w:r>
      <w:r>
        <w:rPr/>
        <w:t>(B2)</w:t>
      </w:r>
    </w:p>
    <w:p>
      <w:pPr>
        <w:spacing w:after="0" w:line="266" w:lineRule="exact"/>
        <w:jc w:val="center"/>
        <w:sectPr>
          <w:type w:val="continuous"/>
          <w:pgSz w:w="11910" w:h="16840"/>
          <w:pgMar w:top="580" w:bottom="280" w:left="1240" w:right="1300"/>
          <w:cols w:num="3" w:equalWidth="0">
            <w:col w:w="1560" w:space="833"/>
            <w:col w:w="3793" w:space="906"/>
            <w:col w:w="2278"/>
          </w:cols>
        </w:sectPr>
      </w:pPr>
    </w:p>
    <w:p>
      <w:pPr>
        <w:pStyle w:val="BodyText"/>
        <w:rPr>
          <w:sz w:val="20"/>
        </w:rPr>
      </w:pPr>
    </w:p>
    <w:p>
      <w:pPr>
        <w:spacing w:after="0"/>
        <w:rPr>
          <w:sz w:val="20"/>
        </w:rPr>
        <w:sectPr>
          <w:type w:val="continuous"/>
          <w:pgSz w:w="11910" w:h="16840"/>
          <w:pgMar w:top="580" w:bottom="280" w:left="1240" w:right="1300"/>
        </w:sectPr>
      </w:pPr>
    </w:p>
    <w:p>
      <w:pPr>
        <w:pStyle w:val="BodyText"/>
        <w:spacing w:before="229"/>
        <w:ind w:left="177"/>
      </w:pPr>
      <w:r>
        <w:rPr/>
        <w:t>where</w:t>
      </w:r>
    </w:p>
    <w:p>
      <w:pPr>
        <w:pStyle w:val="BodyText"/>
        <w:rPr>
          <w:sz w:val="28"/>
        </w:rPr>
      </w:pPr>
      <w:r>
        <w:rPr/>
        <w:br w:type="column"/>
      </w:r>
      <w:r>
        <w:rPr>
          <w:sz w:val="28"/>
        </w:rPr>
      </w:r>
    </w:p>
    <w:p>
      <w:pPr>
        <w:pStyle w:val="BodyText"/>
        <w:spacing w:before="2"/>
        <w:rPr>
          <w:sz w:val="33"/>
        </w:rPr>
      </w:pPr>
    </w:p>
    <w:p>
      <w:pPr>
        <w:spacing w:before="0"/>
        <w:ind w:left="82" w:right="0" w:firstLine="0"/>
        <w:jc w:val="left"/>
        <w:rPr>
          <w:sz w:val="24"/>
        </w:rPr>
      </w:pPr>
      <w:r>
        <w:rPr/>
        <w:pict>
          <v:line style="position:absolute;mso-position-horizontal-relative:page;mso-position-vertical-relative:paragraph;z-index:-58816" from="149.220001pt,8.203431pt" to="177.180001pt,8.203431pt" stroked="true" strokeweight=".499pt" strokecolor="#000000">
            <v:stroke dashstyle="solid"/>
            <w10:wrap type="none"/>
          </v:line>
        </w:pict>
      </w:r>
      <w:r>
        <w:rPr>
          <w:i/>
          <w:sz w:val="24"/>
        </w:rPr>
        <w:t>p</w:t>
      </w:r>
      <w:r>
        <w:rPr>
          <w:i/>
          <w:sz w:val="24"/>
          <w:vertAlign w:val="subscript"/>
        </w:rPr>
        <w:t>F</w:t>
      </w:r>
      <w:r>
        <w:rPr>
          <w:i/>
          <w:sz w:val="24"/>
          <w:vertAlign w:val="baseline"/>
        </w:rPr>
        <w:t>( t )</w:t>
      </w:r>
      <w:r>
        <w:rPr>
          <w:i/>
          <w:spacing w:val="-4"/>
          <w:sz w:val="24"/>
          <w:vertAlign w:val="baseline"/>
        </w:rPr>
        <w:t> </w:t>
      </w:r>
      <w:r>
        <w:rPr>
          <w:sz w:val="24"/>
          <w:vertAlign w:val="baseline"/>
        </w:rPr>
        <w:t>=</w:t>
      </w:r>
    </w:p>
    <w:p>
      <w:pPr>
        <w:pStyle w:val="BodyText"/>
        <w:rPr>
          <w:sz w:val="22"/>
        </w:rPr>
      </w:pPr>
      <w:r>
        <w:rPr/>
        <w:br w:type="column"/>
      </w:r>
      <w:r>
        <w:rPr>
          <w:sz w:val="22"/>
        </w:rPr>
      </w:r>
    </w:p>
    <w:p>
      <w:pPr>
        <w:pStyle w:val="BodyText"/>
        <w:spacing w:before="5"/>
        <w:rPr>
          <w:sz w:val="26"/>
        </w:rPr>
      </w:pPr>
    </w:p>
    <w:p>
      <w:pPr>
        <w:spacing w:line="292" w:lineRule="auto" w:before="0"/>
        <w:ind w:left="259" w:right="5" w:hanging="182"/>
        <w:jc w:val="left"/>
        <w:rPr>
          <w:i/>
          <w:sz w:val="20"/>
        </w:rPr>
      </w:pPr>
      <w:r>
        <w:rPr>
          <w:i/>
          <w:spacing w:val="-7"/>
          <w:sz w:val="20"/>
        </w:rPr>
        <w:t>dP</w:t>
      </w:r>
      <w:r>
        <w:rPr>
          <w:i/>
          <w:spacing w:val="-7"/>
          <w:position w:val="-8"/>
          <w:sz w:val="20"/>
        </w:rPr>
        <w:t>F </w:t>
      </w:r>
      <w:r>
        <w:rPr>
          <w:i/>
          <w:sz w:val="20"/>
        </w:rPr>
        <w:t>(t) dt</w:t>
      </w:r>
    </w:p>
    <w:p>
      <w:pPr>
        <w:pStyle w:val="BodyText"/>
        <w:rPr>
          <w:i/>
          <w:sz w:val="26"/>
        </w:rPr>
      </w:pPr>
      <w:r>
        <w:rPr/>
        <w:br w:type="column"/>
      </w:r>
      <w:r>
        <w:rPr>
          <w:i/>
          <w:sz w:val="26"/>
        </w:rPr>
      </w:r>
    </w:p>
    <w:p>
      <w:pPr>
        <w:pStyle w:val="BodyText"/>
        <w:spacing w:before="2"/>
        <w:rPr>
          <w:i/>
          <w:sz w:val="35"/>
        </w:rPr>
      </w:pPr>
    </w:p>
    <w:p>
      <w:pPr>
        <w:pStyle w:val="BodyText"/>
        <w:ind w:left="177"/>
      </w:pPr>
      <w:r>
        <w:rPr/>
        <w:t>(B3)</w:t>
      </w:r>
    </w:p>
    <w:p>
      <w:pPr>
        <w:spacing w:after="0"/>
        <w:sectPr>
          <w:type w:val="continuous"/>
          <w:pgSz w:w="11910" w:h="16840"/>
          <w:pgMar w:top="580" w:bottom="280" w:left="1240" w:right="1300"/>
          <w:cols w:num="4" w:equalWidth="0">
            <w:col w:w="764" w:space="40"/>
            <w:col w:w="840" w:space="39"/>
            <w:col w:w="658" w:space="6170"/>
            <w:col w:w="859"/>
          </w:cols>
        </w:sectPr>
      </w:pPr>
    </w:p>
    <w:p>
      <w:pPr>
        <w:pStyle w:val="BodyText"/>
        <w:spacing w:before="1"/>
        <w:rPr>
          <w:sz w:val="27"/>
        </w:rPr>
      </w:pPr>
    </w:p>
    <w:p>
      <w:pPr>
        <w:pStyle w:val="BodyText"/>
        <w:spacing w:line="312" w:lineRule="auto" w:before="90"/>
        <w:ind w:left="177" w:right="107"/>
        <w:jc w:val="both"/>
      </w:pPr>
      <w:r>
        <w:rPr/>
        <w:t>is the failure time density. For small values of </w:t>
      </w:r>
      <w:r>
        <w:rPr>
          <w:i/>
        </w:rPr>
        <w:t>t</w:t>
      </w:r>
      <w:r>
        <w:rPr/>
        <w:t>, the failure probability </w:t>
      </w:r>
      <w:r>
        <w:rPr>
          <w:i/>
        </w:rPr>
        <w:t>P</w:t>
      </w:r>
      <w:r>
        <w:rPr>
          <w:i/>
          <w:vertAlign w:val="subscript"/>
        </w:rPr>
        <w:t>F</w:t>
      </w:r>
      <w:r>
        <w:rPr>
          <w:i/>
          <w:vertAlign w:val="baseline"/>
        </w:rPr>
        <w:t>( t ) </w:t>
      </w:r>
      <w:r>
        <w:rPr>
          <w:vertAlign w:val="baseline"/>
        </w:rPr>
        <w:t>is close to zero, which makes the conditional failure rate and the density almost numerically equal. For durability problems, the conditional failure rate is usually increasing in time. Reliability limits set in section 7 may be related to (B2) or (B3) whichever is appropriate.</w:t>
      </w:r>
    </w:p>
    <w:p>
      <w:pPr>
        <w:pStyle w:val="BodyText"/>
        <w:spacing w:before="8"/>
        <w:rPr>
          <w:sz w:val="31"/>
        </w:rPr>
      </w:pPr>
    </w:p>
    <w:p>
      <w:pPr>
        <w:pStyle w:val="BodyText"/>
        <w:spacing w:line="312" w:lineRule="auto"/>
        <w:ind w:left="177" w:right="111"/>
        <w:jc w:val="both"/>
      </w:pPr>
      <w:r>
        <w:rPr/>
        <w:t>If failure of a structural element leads automatically to replacement by a similar element, one may alternatively use the renewal density </w:t>
      </w:r>
      <w:r>
        <w:rPr>
          <w:i/>
        </w:rPr>
        <w:t>h</w:t>
      </w:r>
      <w:r>
        <w:rPr/>
        <w:t>, defined as;</w:t>
      </w:r>
    </w:p>
    <w:p>
      <w:pPr>
        <w:spacing w:after="0" w:line="312" w:lineRule="auto"/>
        <w:jc w:val="both"/>
        <w:sectPr>
          <w:type w:val="continuous"/>
          <w:pgSz w:w="11910" w:h="16840"/>
          <w:pgMar w:top="580" w:bottom="280" w:left="1240" w:right="1300"/>
        </w:sectPr>
      </w:pPr>
    </w:p>
    <w:p>
      <w:pPr>
        <w:pStyle w:val="BodyText"/>
        <w:spacing w:before="2"/>
        <w:rPr>
          <w:sz w:val="15"/>
        </w:rPr>
      </w:pPr>
    </w:p>
    <w:p>
      <w:pPr>
        <w:pStyle w:val="BodyText"/>
        <w:spacing w:before="3"/>
        <w:rPr>
          <w:sz w:val="4"/>
        </w:rPr>
      </w:pPr>
    </w:p>
    <w:p>
      <w:pPr>
        <w:pStyle w:val="BodyText"/>
        <w:spacing w:line="160" w:lineRule="exact"/>
        <w:ind w:left="1665"/>
        <w:rPr>
          <w:sz w:val="16"/>
        </w:rPr>
      </w:pPr>
      <w:r>
        <w:rPr>
          <w:position w:val="-2"/>
          <w:sz w:val="16"/>
        </w:rPr>
        <w:pict>
          <v:shape style="width:4.7pt;height:8.0500pt;mso-position-horizontal-relative:char;mso-position-vertical-relative:line" type="#_x0000_t202" filled="false" stroked="false">
            <w10:anchorlock/>
            <v:textbox inset="0,0,0,0">
              <w:txbxContent>
                <w:p>
                  <w:pPr>
                    <w:spacing w:before="10"/>
                    <w:ind w:left="0" w:right="0" w:firstLine="0"/>
                    <w:jc w:val="left"/>
                    <w:rPr>
                      <w:rFonts w:ascii="Arial" w:hAnsi="Arial"/>
                      <w:sz w:val="13"/>
                    </w:rPr>
                  </w:pPr>
                  <w:r>
                    <w:rPr>
                      <w:rFonts w:ascii="Arial" w:hAnsi="Arial"/>
                      <w:w w:val="101"/>
                      <w:sz w:val="13"/>
                    </w:rPr>
                    <w:t>∞</w:t>
                  </w:r>
                </w:p>
              </w:txbxContent>
            </v:textbox>
          </v:shape>
        </w:pict>
      </w:r>
      <w:r>
        <w:rPr>
          <w:position w:val="-2"/>
          <w:sz w:val="16"/>
        </w:rPr>
      </w:r>
    </w:p>
    <w:p>
      <w:pPr>
        <w:spacing w:line="284" w:lineRule="exact" w:before="0"/>
        <w:ind w:left="1596" w:right="0" w:firstLine="0"/>
        <w:jc w:val="left"/>
        <w:rPr>
          <w:sz w:val="22"/>
        </w:rPr>
      </w:pPr>
      <w:r>
        <w:rPr>
          <w:rFonts w:ascii="Arial" w:hAnsi="Arial"/>
          <w:position w:val="-4"/>
          <w:sz w:val="33"/>
        </w:rPr>
        <w:t>∑ </w:t>
      </w:r>
      <w:r>
        <w:rPr>
          <w:i/>
          <w:sz w:val="22"/>
        </w:rPr>
        <w:t>P</w:t>
      </w:r>
      <w:r>
        <w:rPr>
          <w:sz w:val="22"/>
        </w:rPr>
        <w:t>( </w:t>
      </w:r>
      <w:r>
        <w:rPr>
          <w:i/>
          <w:sz w:val="22"/>
        </w:rPr>
        <w:t>failure of element number n in </w:t>
      </w:r>
      <w:r>
        <w:rPr>
          <w:rFonts w:ascii="Arial" w:hAnsi="Arial"/>
          <w:sz w:val="30"/>
        </w:rPr>
        <w:t>[</w:t>
      </w:r>
      <w:r>
        <w:rPr>
          <w:i/>
          <w:sz w:val="22"/>
        </w:rPr>
        <w:t>t</w:t>
      </w:r>
      <w:r>
        <w:rPr>
          <w:sz w:val="22"/>
        </w:rPr>
        <w:t>, </w:t>
      </w:r>
      <w:r>
        <w:rPr>
          <w:i/>
          <w:sz w:val="22"/>
        </w:rPr>
        <w:t>t </w:t>
      </w:r>
      <w:r>
        <w:rPr>
          <w:rFonts w:ascii="Arial" w:hAnsi="Arial"/>
          <w:sz w:val="22"/>
        </w:rPr>
        <w:t>+ Δ </w:t>
      </w:r>
      <w:r>
        <w:rPr>
          <w:i/>
          <w:sz w:val="22"/>
        </w:rPr>
        <w:t>t</w:t>
      </w:r>
      <w:r>
        <w:rPr>
          <w:rFonts w:ascii="Arial" w:hAnsi="Arial"/>
          <w:sz w:val="30"/>
        </w:rPr>
        <w:t>] </w:t>
      </w:r>
      <w:r>
        <w:rPr>
          <w:sz w:val="22"/>
        </w:rPr>
        <w:t>)</w:t>
      </w:r>
    </w:p>
    <w:p>
      <w:pPr>
        <w:tabs>
          <w:tab w:pos="6183" w:val="left" w:leader="none"/>
          <w:tab w:pos="7978" w:val="left" w:leader="none"/>
        </w:tabs>
        <w:spacing w:line="224" w:lineRule="exact" w:before="2"/>
        <w:ind w:left="886" w:right="0" w:firstLine="0"/>
        <w:jc w:val="left"/>
        <w:rPr>
          <w:sz w:val="22"/>
        </w:rPr>
      </w:pPr>
      <w:r>
        <w:rPr>
          <w:i/>
          <w:sz w:val="22"/>
        </w:rPr>
        <w:t>h( t )</w:t>
      </w:r>
      <w:r>
        <w:rPr>
          <w:i/>
          <w:spacing w:val="-4"/>
          <w:sz w:val="22"/>
        </w:rPr>
        <w:t> </w:t>
      </w:r>
      <w:r>
        <w:rPr>
          <w:sz w:val="22"/>
        </w:rPr>
        <w:t>= </w:t>
      </w:r>
      <w:r>
        <w:rPr>
          <w:spacing w:val="10"/>
          <w:position w:val="8"/>
          <w:sz w:val="22"/>
          <w:u w:val="single"/>
        </w:rPr>
        <w:t> </w:t>
      </w:r>
      <w:r>
        <w:rPr>
          <w:i/>
          <w:position w:val="8"/>
          <w:sz w:val="13"/>
          <w:u w:val="single"/>
        </w:rPr>
        <w:t>n</w:t>
      </w:r>
      <w:r>
        <w:rPr>
          <w:rFonts w:ascii="Arial"/>
          <w:position w:val="8"/>
          <w:sz w:val="13"/>
          <w:u w:val="single"/>
        </w:rPr>
        <w:t>=</w:t>
      </w:r>
      <w:r>
        <w:rPr>
          <w:position w:val="8"/>
          <w:sz w:val="13"/>
          <w:u w:val="single"/>
        </w:rPr>
        <w:t>1</w:t>
        <w:tab/>
      </w:r>
      <w:r>
        <w:rPr>
          <w:position w:val="8"/>
          <w:sz w:val="13"/>
        </w:rPr>
        <w:tab/>
      </w:r>
      <w:r>
        <w:rPr>
          <w:sz w:val="22"/>
        </w:rPr>
        <w:t>(B4)</w:t>
      </w:r>
    </w:p>
    <w:p>
      <w:pPr>
        <w:spacing w:line="225" w:lineRule="exact" w:before="0"/>
        <w:ind w:left="875" w:right="2472" w:firstLine="0"/>
        <w:jc w:val="center"/>
        <w:rPr>
          <w:i/>
          <w:sz w:val="22"/>
        </w:rPr>
      </w:pPr>
      <w:r>
        <w:rPr>
          <w:rFonts w:ascii="Arial" w:hAnsi="Arial"/>
          <w:sz w:val="22"/>
        </w:rPr>
        <w:t>Δ </w:t>
      </w:r>
      <w:r>
        <w:rPr>
          <w:i/>
          <w:sz w:val="22"/>
        </w:rPr>
        <w:t>t</w:t>
      </w:r>
    </w:p>
    <w:p>
      <w:pPr>
        <w:pStyle w:val="BodyText"/>
        <w:rPr>
          <w:i/>
          <w:sz w:val="20"/>
        </w:rPr>
      </w:pPr>
    </w:p>
    <w:p>
      <w:pPr>
        <w:pStyle w:val="BodyText"/>
        <w:spacing w:before="4"/>
        <w:rPr>
          <w:i/>
          <w:sz w:val="23"/>
        </w:rPr>
      </w:pPr>
    </w:p>
    <w:p>
      <w:pPr>
        <w:pStyle w:val="BodyText"/>
        <w:spacing w:line="312" w:lineRule="auto"/>
        <w:ind w:left="177"/>
      </w:pPr>
      <w:r>
        <w:rPr/>
        <w:t>For small </w:t>
      </w:r>
      <w:r>
        <w:rPr>
          <w:i/>
        </w:rPr>
        <w:t>t </w:t>
      </w:r>
      <w:r>
        <w:rPr/>
        <w:t>the result will be equal to (B2) and (B3). For large </w:t>
      </w:r>
      <w:r>
        <w:rPr>
          <w:i/>
        </w:rPr>
        <w:t>t </w:t>
      </w:r>
      <w:r>
        <w:rPr/>
        <w:t>the value of </w:t>
      </w:r>
      <w:r>
        <w:rPr>
          <w:i/>
        </w:rPr>
        <w:t>h </w:t>
      </w:r>
      <w:r>
        <w:rPr/>
        <w:t>will asymptotically lead to 1/</w:t>
      </w:r>
      <w:r>
        <w:rPr>
          <w:rFonts w:ascii="Arial" w:hAnsi="Arial"/>
        </w:rPr>
        <w:t>μ </w:t>
      </w:r>
      <w:r>
        <w:rPr/>
        <w:t>and where </w:t>
      </w:r>
      <w:r>
        <w:rPr>
          <w:rFonts w:ascii="Arial" w:hAnsi="Arial"/>
        </w:rPr>
        <w:t>μ </w:t>
      </w:r>
      <w:r>
        <w:rPr/>
        <w:t>is the mean time to failure, defined as:</w:t>
      </w:r>
    </w:p>
    <w:p>
      <w:pPr>
        <w:pStyle w:val="BodyText"/>
        <w:spacing w:before="9"/>
        <w:rPr>
          <w:sz w:val="17"/>
        </w:rPr>
      </w:pPr>
    </w:p>
    <w:p>
      <w:pPr>
        <w:spacing w:after="0"/>
        <w:rPr>
          <w:sz w:val="17"/>
        </w:rPr>
        <w:sectPr>
          <w:pgSz w:w="11910" w:h="16840"/>
          <w:pgMar w:header="0" w:footer="788" w:top="1600" w:bottom="980" w:left="1240" w:right="1300"/>
        </w:sectPr>
      </w:pPr>
    </w:p>
    <w:p>
      <w:pPr>
        <w:spacing w:line="160" w:lineRule="exact" w:before="110"/>
        <w:ind w:left="0" w:right="94" w:firstLine="0"/>
        <w:jc w:val="right"/>
        <w:rPr>
          <w:rFonts w:ascii="Arial" w:hAnsi="Arial"/>
          <w:sz w:val="14"/>
        </w:rPr>
      </w:pPr>
      <w:r>
        <w:rPr>
          <w:rFonts w:ascii="Arial" w:hAnsi="Arial"/>
          <w:w w:val="99"/>
          <w:sz w:val="14"/>
        </w:rPr>
        <w:t>∞</w:t>
      </w:r>
    </w:p>
    <w:p>
      <w:pPr>
        <w:spacing w:line="394" w:lineRule="exact" w:before="0"/>
        <w:ind w:left="0" w:right="0" w:firstLine="0"/>
        <w:jc w:val="right"/>
        <w:rPr>
          <w:i/>
          <w:sz w:val="24"/>
        </w:rPr>
      </w:pPr>
      <w:r>
        <w:rPr>
          <w:rFonts w:ascii="Arial" w:hAnsi="Arial"/>
          <w:sz w:val="24"/>
        </w:rPr>
        <w:t>μ </w:t>
      </w:r>
      <w:r>
        <w:rPr>
          <w:sz w:val="24"/>
        </w:rPr>
        <w:t>= </w:t>
      </w:r>
      <w:r>
        <w:rPr>
          <w:rFonts w:ascii="Arial" w:hAnsi="Arial"/>
          <w:position w:val="-8"/>
          <w:sz w:val="36"/>
        </w:rPr>
        <w:t>∫</w:t>
      </w:r>
      <w:r>
        <w:rPr>
          <w:i/>
          <w:sz w:val="24"/>
        </w:rPr>
        <w:t>t</w:t>
      </w:r>
    </w:p>
    <w:p>
      <w:pPr>
        <w:spacing w:line="142" w:lineRule="exact" w:before="0"/>
        <w:ind w:left="0" w:right="107" w:firstLine="0"/>
        <w:jc w:val="right"/>
        <w:rPr>
          <w:sz w:val="14"/>
        </w:rPr>
      </w:pPr>
      <w:r>
        <w:rPr>
          <w:w w:val="99"/>
          <w:sz w:val="14"/>
        </w:rPr>
        <w:t>0</w:t>
      </w:r>
    </w:p>
    <w:p>
      <w:pPr>
        <w:spacing w:line="138" w:lineRule="exact" w:before="110"/>
        <w:ind w:left="1049" w:right="1299" w:firstLine="0"/>
        <w:jc w:val="center"/>
        <w:rPr>
          <w:rFonts w:ascii="Arial" w:hAnsi="Arial"/>
          <w:sz w:val="14"/>
        </w:rPr>
      </w:pPr>
      <w:r>
        <w:rPr/>
        <w:br w:type="column"/>
      </w:r>
      <w:r>
        <w:rPr>
          <w:rFonts w:ascii="Arial" w:hAnsi="Arial"/>
          <w:sz w:val="14"/>
        </w:rPr>
        <w:t>∞</w:t>
      </w:r>
    </w:p>
    <w:p>
      <w:pPr>
        <w:spacing w:line="415" w:lineRule="exact" w:before="0"/>
        <w:ind w:left="78" w:right="0" w:firstLine="0"/>
        <w:jc w:val="left"/>
        <w:rPr>
          <w:i/>
          <w:sz w:val="24"/>
        </w:rPr>
      </w:pPr>
      <w:r>
        <w:rPr>
          <w:i/>
          <w:spacing w:val="5"/>
          <w:sz w:val="24"/>
        </w:rPr>
        <w:t>p</w:t>
      </w:r>
      <w:r>
        <w:rPr>
          <w:i/>
          <w:spacing w:val="5"/>
          <w:position w:val="-5"/>
          <w:sz w:val="14"/>
        </w:rPr>
        <w:t>F</w:t>
      </w:r>
      <w:r>
        <w:rPr>
          <w:i/>
          <w:spacing w:val="-12"/>
          <w:position w:val="-5"/>
          <w:sz w:val="14"/>
        </w:rPr>
        <w:t> </w:t>
      </w:r>
      <w:r>
        <w:rPr>
          <w:spacing w:val="3"/>
          <w:sz w:val="24"/>
        </w:rPr>
        <w:t>(</w:t>
      </w:r>
      <w:r>
        <w:rPr>
          <w:i/>
          <w:spacing w:val="3"/>
          <w:sz w:val="24"/>
        </w:rPr>
        <w:t>t</w:t>
      </w:r>
      <w:r>
        <w:rPr>
          <w:spacing w:val="3"/>
          <w:sz w:val="24"/>
        </w:rPr>
        <w:t>)</w:t>
      </w:r>
      <w:r>
        <w:rPr>
          <w:spacing w:val="-33"/>
          <w:sz w:val="24"/>
        </w:rPr>
        <w:t> </w:t>
      </w:r>
      <w:r>
        <w:rPr>
          <w:i/>
          <w:sz w:val="24"/>
        </w:rPr>
        <w:t>dt</w:t>
      </w:r>
      <w:r>
        <w:rPr>
          <w:i/>
          <w:spacing w:val="1"/>
          <w:sz w:val="24"/>
        </w:rPr>
        <w:t> </w:t>
      </w:r>
      <w:r>
        <w:rPr>
          <w:rFonts w:ascii="Arial" w:hAnsi="Arial"/>
          <w:sz w:val="24"/>
        </w:rPr>
        <w:t>=</w:t>
      </w:r>
      <w:r>
        <w:rPr>
          <w:rFonts w:ascii="Arial" w:hAnsi="Arial"/>
          <w:spacing w:val="-31"/>
          <w:sz w:val="24"/>
        </w:rPr>
        <w:t> </w:t>
      </w:r>
      <w:r>
        <w:rPr>
          <w:rFonts w:ascii="Arial" w:hAnsi="Arial"/>
          <w:position w:val="-8"/>
          <w:sz w:val="36"/>
        </w:rPr>
        <w:t>∫</w:t>
      </w:r>
      <w:r>
        <w:rPr>
          <w:rFonts w:ascii="Arial" w:hAnsi="Arial"/>
          <w:spacing w:val="-35"/>
          <w:position w:val="-8"/>
          <w:sz w:val="36"/>
        </w:rPr>
        <w:t> </w:t>
      </w:r>
      <w:r>
        <w:rPr>
          <w:rFonts w:ascii="Arial" w:hAnsi="Arial"/>
          <w:spacing w:val="-15"/>
          <w:sz w:val="31"/>
        </w:rPr>
        <w:t>(</w:t>
      </w:r>
      <w:r>
        <w:rPr>
          <w:spacing w:val="-15"/>
          <w:sz w:val="24"/>
        </w:rPr>
        <w:t>1</w:t>
      </w:r>
      <w:r>
        <w:rPr>
          <w:spacing w:val="-40"/>
          <w:sz w:val="24"/>
        </w:rPr>
        <w:t> </w:t>
      </w:r>
      <w:r>
        <w:rPr>
          <w:rFonts w:ascii="Arial" w:hAnsi="Arial"/>
          <w:sz w:val="24"/>
        </w:rPr>
        <w:t>−</w:t>
      </w:r>
      <w:r>
        <w:rPr>
          <w:rFonts w:ascii="Arial" w:hAnsi="Arial"/>
          <w:spacing w:val="-22"/>
          <w:sz w:val="24"/>
        </w:rPr>
        <w:t> </w:t>
      </w:r>
      <w:r>
        <w:rPr>
          <w:i/>
          <w:spacing w:val="-12"/>
          <w:sz w:val="24"/>
        </w:rPr>
        <w:t>P</w:t>
      </w:r>
      <w:r>
        <w:rPr>
          <w:i/>
          <w:spacing w:val="-12"/>
          <w:position w:val="-5"/>
          <w:sz w:val="14"/>
        </w:rPr>
        <w:t>F </w:t>
      </w:r>
      <w:r>
        <w:rPr>
          <w:spacing w:val="5"/>
          <w:sz w:val="24"/>
        </w:rPr>
        <w:t>(</w:t>
      </w:r>
      <w:r>
        <w:rPr>
          <w:i/>
          <w:spacing w:val="5"/>
          <w:sz w:val="24"/>
        </w:rPr>
        <w:t>t</w:t>
      </w:r>
      <w:r>
        <w:rPr>
          <w:spacing w:val="5"/>
          <w:sz w:val="24"/>
        </w:rPr>
        <w:t>)</w:t>
      </w:r>
      <w:r>
        <w:rPr>
          <w:rFonts w:ascii="Arial" w:hAnsi="Arial"/>
          <w:spacing w:val="5"/>
          <w:sz w:val="31"/>
        </w:rPr>
        <w:t>)</w:t>
      </w:r>
      <w:r>
        <w:rPr>
          <w:rFonts w:ascii="Arial" w:hAnsi="Arial"/>
          <w:spacing w:val="-40"/>
          <w:sz w:val="31"/>
        </w:rPr>
        <w:t> </w:t>
      </w:r>
      <w:r>
        <w:rPr>
          <w:i/>
          <w:sz w:val="24"/>
        </w:rPr>
        <w:t>dt</w:t>
      </w:r>
    </w:p>
    <w:p>
      <w:pPr>
        <w:spacing w:line="142" w:lineRule="exact" w:before="0"/>
        <w:ind w:left="0" w:right="246" w:firstLine="0"/>
        <w:jc w:val="center"/>
        <w:rPr>
          <w:sz w:val="14"/>
        </w:rPr>
      </w:pPr>
      <w:r>
        <w:rPr>
          <w:w w:val="99"/>
          <w:sz w:val="14"/>
        </w:rPr>
        <w:t>0</w:t>
      </w:r>
    </w:p>
    <w:p>
      <w:pPr>
        <w:pStyle w:val="BodyText"/>
        <w:spacing w:before="3"/>
        <w:rPr>
          <w:sz w:val="25"/>
        </w:rPr>
      </w:pPr>
      <w:r>
        <w:rPr/>
        <w:br w:type="column"/>
      </w:r>
      <w:r>
        <w:rPr>
          <w:sz w:val="25"/>
        </w:rPr>
      </w:r>
    </w:p>
    <w:p>
      <w:pPr>
        <w:pStyle w:val="BodyText"/>
        <w:ind w:left="692" w:right="749"/>
        <w:jc w:val="center"/>
      </w:pPr>
      <w:r>
        <w:rPr/>
        <w:t>(B5)</w:t>
      </w:r>
    </w:p>
    <w:p>
      <w:pPr>
        <w:spacing w:after="0"/>
        <w:jc w:val="center"/>
        <w:sectPr>
          <w:type w:val="continuous"/>
          <w:pgSz w:w="11910" w:h="16840"/>
          <w:pgMar w:top="580" w:bottom="280" w:left="1240" w:right="1300"/>
          <w:cols w:num="3" w:equalWidth="0">
            <w:col w:w="1583" w:space="40"/>
            <w:col w:w="2489" w:space="2980"/>
            <w:col w:w="2278"/>
          </w:cols>
        </w:sectPr>
      </w:pPr>
    </w:p>
    <w:p>
      <w:pPr>
        <w:pStyle w:val="BodyText"/>
        <w:rPr>
          <w:sz w:val="20"/>
        </w:rPr>
      </w:pPr>
    </w:p>
    <w:p>
      <w:pPr>
        <w:pStyle w:val="BodyText"/>
        <w:spacing w:before="11"/>
        <w:rPr>
          <w:sz w:val="20"/>
        </w:rPr>
      </w:pPr>
    </w:p>
    <w:p>
      <w:pPr>
        <w:pStyle w:val="BodyText"/>
        <w:spacing w:line="312" w:lineRule="auto"/>
        <w:ind w:left="177" w:right="111"/>
        <w:jc w:val="both"/>
      </w:pPr>
      <w:r>
        <w:rPr/>
        <w:t>The calculation procedure for </w:t>
      </w:r>
      <w:r>
        <w:rPr>
          <w:i/>
        </w:rPr>
        <w:t>P</w:t>
      </w:r>
      <w:r>
        <w:rPr>
          <w:i/>
          <w:vertAlign w:val="subscript"/>
        </w:rPr>
        <w:t>F</w:t>
      </w:r>
      <w:r>
        <w:rPr>
          <w:i/>
          <w:vertAlign w:val="baseline"/>
        </w:rPr>
        <w:t> ( t ) </w:t>
      </w:r>
      <w:r>
        <w:rPr>
          <w:vertAlign w:val="baseline"/>
        </w:rPr>
        <w:t>depends on the nature of the limit state function </w:t>
      </w:r>
      <w:r>
        <w:rPr>
          <w:i/>
          <w:vertAlign w:val="baseline"/>
        </w:rPr>
        <w:t>g(.)</w:t>
      </w:r>
      <w:r>
        <w:rPr>
          <w:vertAlign w:val="baseline"/>
        </w:rPr>
        <w:t>. If </w:t>
      </w:r>
      <w:r>
        <w:rPr>
          <w:i/>
          <w:vertAlign w:val="baseline"/>
        </w:rPr>
        <w:t>g(.) </w:t>
      </w:r>
      <w:r>
        <w:rPr>
          <w:vertAlign w:val="baseline"/>
        </w:rPr>
        <w:t>is a smooth monotonically decreasing function not depending explicitly on random process variables, the minimum value is reached at the end of the period, and we simply have:</w:t>
      </w:r>
    </w:p>
    <w:p>
      <w:pPr>
        <w:pStyle w:val="BodyText"/>
        <w:spacing w:before="7"/>
        <w:rPr>
          <w:sz w:val="31"/>
        </w:rPr>
      </w:pPr>
    </w:p>
    <w:p>
      <w:pPr>
        <w:tabs>
          <w:tab w:pos="8687" w:val="left" w:leader="none"/>
        </w:tabs>
        <w:spacing w:before="0"/>
        <w:ind w:left="886" w:right="0" w:firstLine="0"/>
        <w:jc w:val="left"/>
        <w:rPr>
          <w:sz w:val="24"/>
        </w:rPr>
      </w:pPr>
      <w:r>
        <w:rPr>
          <w:i/>
          <w:sz w:val="24"/>
        </w:rPr>
        <w:t>P</w:t>
      </w:r>
      <w:r>
        <w:rPr>
          <w:i/>
          <w:sz w:val="24"/>
          <w:vertAlign w:val="subscript"/>
        </w:rPr>
        <w:t>F</w:t>
      </w:r>
      <w:r>
        <w:rPr>
          <w:i/>
          <w:sz w:val="24"/>
          <w:vertAlign w:val="baseline"/>
        </w:rPr>
        <w:t>(t) = P </w:t>
      </w:r>
      <w:r>
        <w:rPr>
          <w:b/>
          <w:sz w:val="24"/>
          <w:vertAlign w:val="baseline"/>
        </w:rPr>
        <w:t>[</w:t>
      </w:r>
      <w:r>
        <w:rPr>
          <w:i/>
          <w:sz w:val="24"/>
          <w:vertAlign w:val="baseline"/>
        </w:rPr>
        <w:t>g</w:t>
      </w:r>
      <w:r>
        <w:rPr>
          <w:rFonts w:ascii="TimesNewRomanPS-BoldItalicMT"/>
          <w:b/>
          <w:i/>
          <w:sz w:val="24"/>
          <w:vertAlign w:val="baseline"/>
        </w:rPr>
        <w:t>( </w:t>
      </w:r>
      <w:r>
        <w:rPr>
          <w:b/>
          <w:sz w:val="24"/>
          <w:vertAlign w:val="baseline"/>
        </w:rPr>
        <w:t>x</w:t>
      </w:r>
      <w:r>
        <w:rPr>
          <w:i/>
          <w:sz w:val="24"/>
          <w:vertAlign w:val="baseline"/>
        </w:rPr>
        <w:t>;t </w:t>
      </w:r>
      <w:r>
        <w:rPr>
          <w:rFonts w:ascii="TimesNewRomanPS-BoldItalicMT"/>
          <w:b/>
          <w:i/>
          <w:sz w:val="24"/>
          <w:vertAlign w:val="baseline"/>
        </w:rPr>
        <w:t>) </w:t>
      </w:r>
      <w:r>
        <w:rPr>
          <w:i/>
          <w:sz w:val="24"/>
          <w:vertAlign w:val="baseline"/>
        </w:rPr>
        <w:t>&lt;</w:t>
      </w:r>
      <w:r>
        <w:rPr>
          <w:i/>
          <w:spacing w:val="-5"/>
          <w:sz w:val="24"/>
          <w:vertAlign w:val="baseline"/>
        </w:rPr>
        <w:t> </w:t>
      </w:r>
      <w:r>
        <w:rPr>
          <w:i/>
          <w:sz w:val="24"/>
          <w:vertAlign w:val="baseline"/>
        </w:rPr>
        <w:t>0</w:t>
      </w:r>
      <w:r>
        <w:rPr>
          <w:i/>
          <w:spacing w:val="-2"/>
          <w:sz w:val="24"/>
          <w:vertAlign w:val="baseline"/>
        </w:rPr>
        <w:t> </w:t>
      </w:r>
      <w:r>
        <w:rPr>
          <w:b/>
          <w:sz w:val="24"/>
          <w:vertAlign w:val="baseline"/>
        </w:rPr>
        <w:t>]</w:t>
        <w:tab/>
      </w:r>
      <w:r>
        <w:rPr>
          <w:sz w:val="24"/>
          <w:vertAlign w:val="baseline"/>
        </w:rPr>
        <w:t>(B6)</w:t>
      </w:r>
    </w:p>
    <w:p>
      <w:pPr>
        <w:pStyle w:val="BodyText"/>
        <w:spacing w:before="7"/>
        <w:rPr>
          <w:sz w:val="38"/>
        </w:rPr>
      </w:pPr>
    </w:p>
    <w:p>
      <w:pPr>
        <w:pStyle w:val="BodyText"/>
        <w:spacing w:line="312" w:lineRule="auto"/>
        <w:ind w:left="177" w:right="111"/>
        <w:jc w:val="both"/>
      </w:pPr>
      <w:r>
        <w:rPr/>
        <w:t>If </w:t>
      </w:r>
      <w:r>
        <w:rPr>
          <w:i/>
        </w:rPr>
        <w:t>g(.) </w:t>
      </w:r>
      <w:r>
        <w:rPr/>
        <w:t>depends on random process variables and, therefore, is not monotonically decreasing, we have a first passage problem. In that case the following upper bound approximation may be useful:</w:t>
      </w:r>
    </w:p>
    <w:p>
      <w:pPr>
        <w:pStyle w:val="BodyText"/>
        <w:rPr>
          <w:sz w:val="18"/>
        </w:rPr>
      </w:pPr>
    </w:p>
    <w:p>
      <w:pPr>
        <w:spacing w:after="0"/>
        <w:rPr>
          <w:sz w:val="18"/>
        </w:rPr>
        <w:sectPr>
          <w:type w:val="continuous"/>
          <w:pgSz w:w="11910" w:h="16840"/>
          <w:pgMar w:top="580" w:bottom="280" w:left="1240" w:right="1300"/>
        </w:sectPr>
      </w:pPr>
    </w:p>
    <w:p>
      <w:pPr>
        <w:spacing w:line="226" w:lineRule="exact" w:before="91"/>
        <w:ind w:left="0" w:right="25" w:firstLine="0"/>
        <w:jc w:val="right"/>
        <w:rPr>
          <w:sz w:val="22"/>
        </w:rPr>
      </w:pPr>
      <w:r>
        <w:rPr>
          <w:sz w:val="22"/>
        </w:rPr>
        <w:t>t</w:t>
      </w:r>
    </w:p>
    <w:p>
      <w:pPr>
        <w:pStyle w:val="BodyText"/>
        <w:spacing w:line="271" w:lineRule="exact"/>
        <w:ind w:right="23"/>
        <w:jc w:val="right"/>
        <w:rPr>
          <w:rFonts w:ascii="Arial" w:hAnsi="Arial"/>
          <w:sz w:val="22"/>
        </w:rPr>
      </w:pPr>
      <w:r>
        <w:rPr/>
        <w:t>P</w:t>
      </w:r>
      <w:r>
        <w:rPr>
          <w:vertAlign w:val="subscript"/>
        </w:rPr>
        <w:t>F</w:t>
      </w:r>
      <w:r>
        <w:rPr>
          <w:vertAlign w:val="baseline"/>
        </w:rPr>
        <w:t>(t) = P</w:t>
      </w:r>
      <w:r>
        <w:rPr>
          <w:vertAlign w:val="subscript"/>
        </w:rPr>
        <w:t>F</w:t>
      </w:r>
      <w:r>
        <w:rPr>
          <w:vertAlign w:val="baseline"/>
        </w:rPr>
        <w:t>(0) + </w:t>
      </w:r>
      <w:r>
        <w:rPr>
          <w:rFonts w:ascii="Arial" w:hAnsi="Arial"/>
          <w:position w:val="-2"/>
          <w:sz w:val="22"/>
          <w:vertAlign w:val="baseline"/>
        </w:rPr>
        <w:t>∫</w:t>
      </w:r>
    </w:p>
    <w:p>
      <w:pPr>
        <w:spacing w:line="250" w:lineRule="exact" w:before="0"/>
        <w:ind w:left="0" w:right="0" w:firstLine="0"/>
        <w:jc w:val="right"/>
        <w:rPr>
          <w:sz w:val="22"/>
        </w:rPr>
      </w:pPr>
      <w:r>
        <w:rPr>
          <w:sz w:val="22"/>
        </w:rPr>
        <w:t>0</w:t>
      </w:r>
    </w:p>
    <w:p>
      <w:pPr>
        <w:pStyle w:val="BodyText"/>
        <w:spacing w:before="2"/>
        <w:rPr>
          <w:sz w:val="25"/>
        </w:rPr>
      </w:pPr>
      <w:r>
        <w:rPr/>
        <w:br w:type="column"/>
      </w:r>
      <w:r>
        <w:rPr>
          <w:sz w:val="25"/>
        </w:rPr>
      </w:r>
    </w:p>
    <w:p>
      <w:pPr>
        <w:pStyle w:val="BodyText"/>
        <w:tabs>
          <w:tab w:pos="5444" w:val="left" w:leader="none"/>
        </w:tabs>
        <w:ind w:left="96"/>
      </w:pPr>
      <w:r>
        <w:rPr>
          <w:rFonts w:ascii="Arial" w:hAnsi="Arial"/>
        </w:rPr>
        <w:t>ν</w:t>
      </w:r>
      <w:r>
        <w:rPr>
          <w:rFonts w:ascii="Arial" w:hAnsi="Arial"/>
          <w:spacing w:val="-1"/>
        </w:rPr>
        <w:t> </w:t>
      </w:r>
      <w:r>
        <w:rPr>
          <w:vertAlign w:val="superscript"/>
        </w:rPr>
        <w:t>-</w:t>
      </w:r>
      <w:r>
        <w:rPr>
          <w:spacing w:val="-17"/>
          <w:vertAlign w:val="baseline"/>
        </w:rPr>
        <w:t> </w:t>
      </w:r>
      <w:r>
        <w:rPr>
          <w:vertAlign w:val="baseline"/>
        </w:rPr>
        <w:t>(</w:t>
      </w:r>
      <w:r>
        <w:rPr>
          <w:rFonts w:ascii="Arial" w:hAnsi="Arial"/>
          <w:vertAlign w:val="baseline"/>
        </w:rPr>
        <w:t>τ</w:t>
      </w:r>
      <w:r>
        <w:rPr>
          <w:vertAlign w:val="baseline"/>
        </w:rPr>
        <w:t>)d</w:t>
      </w:r>
      <w:r>
        <w:rPr>
          <w:rFonts w:ascii="Arial" w:hAnsi="Arial"/>
          <w:vertAlign w:val="baseline"/>
        </w:rPr>
        <w:t>τ</w:t>
        <w:tab/>
      </w:r>
      <w:r>
        <w:rPr>
          <w:vertAlign w:val="baseline"/>
        </w:rPr>
        <w:t>(B7)</w:t>
      </w:r>
    </w:p>
    <w:p>
      <w:pPr>
        <w:spacing w:after="0"/>
        <w:sectPr>
          <w:type w:val="continuous"/>
          <w:pgSz w:w="11910" w:h="16840"/>
          <w:pgMar w:top="580" w:bottom="280" w:left="1240" w:right="1300"/>
          <w:cols w:num="2" w:equalWidth="0">
            <w:col w:w="2494" w:space="40"/>
            <w:col w:w="6836"/>
          </w:cols>
        </w:sectPr>
      </w:pPr>
    </w:p>
    <w:p>
      <w:pPr>
        <w:pStyle w:val="BodyText"/>
        <w:spacing w:before="11"/>
        <w:rPr>
          <w:sz w:val="26"/>
        </w:rPr>
      </w:pPr>
    </w:p>
    <w:p>
      <w:pPr>
        <w:pStyle w:val="BodyText"/>
        <w:spacing w:line="312" w:lineRule="auto" w:before="127"/>
        <w:ind w:left="177"/>
      </w:pPr>
      <w:r>
        <w:rPr/>
        <w:t>where P</w:t>
      </w:r>
      <w:r>
        <w:rPr>
          <w:vertAlign w:val="subscript"/>
        </w:rPr>
        <w:t>F</w:t>
      </w:r>
      <w:r>
        <w:rPr>
          <w:vertAlign w:val="baseline"/>
        </w:rPr>
        <w:t>(0) is the failure at the start and </w:t>
      </w:r>
      <w:r>
        <w:rPr>
          <w:rFonts w:ascii="Arial" w:hAnsi="Arial"/>
          <w:vertAlign w:val="baseline"/>
        </w:rPr>
        <w:t>ν</w:t>
      </w:r>
      <w:r>
        <w:rPr>
          <w:vertAlign w:val="superscript"/>
        </w:rPr>
        <w:t>-</w:t>
      </w:r>
      <w:r>
        <w:rPr>
          <w:vertAlign w:val="baseline"/>
        </w:rPr>
        <w:t> the outcrossing rate or unconditional failure rate which is given by:</w:t>
      </w:r>
    </w:p>
    <w:p>
      <w:pPr>
        <w:pStyle w:val="BodyText"/>
        <w:spacing w:before="7"/>
        <w:rPr>
          <w:sz w:val="14"/>
        </w:rPr>
      </w:pPr>
    </w:p>
    <w:p>
      <w:pPr>
        <w:spacing w:after="0"/>
        <w:rPr>
          <w:sz w:val="14"/>
        </w:rPr>
        <w:sectPr>
          <w:type w:val="continuous"/>
          <w:pgSz w:w="11910" w:h="16840"/>
          <w:pgMar w:top="580" w:bottom="280" w:left="1240" w:right="1300"/>
        </w:sectPr>
      </w:pPr>
    </w:p>
    <w:p>
      <w:pPr>
        <w:pStyle w:val="BodyText"/>
        <w:spacing w:before="268"/>
        <w:ind w:left="897"/>
      </w:pPr>
      <w:r>
        <w:rPr>
          <w:rFonts w:ascii="Arial" w:hAnsi="Arial"/>
        </w:rPr>
        <w:t>ν</w:t>
      </w:r>
      <w:r>
        <w:rPr>
          <w:vertAlign w:val="superscript"/>
        </w:rPr>
        <w:t>-</w:t>
      </w:r>
      <w:r>
        <w:rPr>
          <w:vertAlign w:val="baseline"/>
        </w:rPr>
        <w:t> (</w:t>
      </w:r>
      <w:r>
        <w:rPr>
          <w:rFonts w:ascii="Arial" w:hAnsi="Arial"/>
          <w:vertAlign w:val="baseline"/>
        </w:rPr>
        <w:t>τ</w:t>
      </w:r>
      <w:r>
        <w:rPr>
          <w:vertAlign w:val="baseline"/>
        </w:rPr>
        <w:t>) =</w:t>
      </w:r>
    </w:p>
    <w:p>
      <w:pPr>
        <w:pStyle w:val="BodyText"/>
        <w:spacing w:before="117"/>
        <w:ind w:left="103"/>
        <w:jc w:val="center"/>
      </w:pPr>
      <w:r>
        <w:rPr/>
        <w:br w:type="column"/>
      </w:r>
      <w:r>
        <w:rPr>
          <w:i/>
        </w:rPr>
        <w:t>P</w:t>
      </w:r>
      <w:r>
        <w:rPr/>
        <w:t>[</w:t>
      </w:r>
      <w:r>
        <w:rPr>
          <w:i/>
        </w:rPr>
        <w:t>g</w:t>
      </w:r>
      <w:r>
        <w:rPr/>
        <w:t>(</w:t>
      </w:r>
      <w:r>
        <w:rPr>
          <w:rFonts w:ascii="Arial" w:hAnsi="Arial"/>
        </w:rPr>
        <w:t>τ</w:t>
      </w:r>
      <w:r>
        <w:rPr/>
        <w:t>) </w:t>
      </w:r>
      <w:r>
        <w:rPr>
          <w:rFonts w:ascii="Arial" w:hAnsi="Arial"/>
        </w:rPr>
        <w:t>&gt; </w:t>
      </w:r>
      <w:r>
        <w:rPr/>
        <w:t>0 </w:t>
      </w:r>
      <w:r>
        <w:rPr>
          <w:rFonts w:ascii="Arial" w:hAnsi="Arial"/>
        </w:rPr>
        <w:t>∩ </w:t>
      </w:r>
      <w:r>
        <w:rPr>
          <w:i/>
        </w:rPr>
        <w:t>g</w:t>
      </w:r>
      <w:r>
        <w:rPr/>
        <w:t>(</w:t>
      </w:r>
      <w:r>
        <w:rPr>
          <w:rFonts w:ascii="Arial" w:hAnsi="Arial"/>
        </w:rPr>
        <w:t>τ + Δτ</w:t>
      </w:r>
      <w:r>
        <w:rPr/>
        <w:t>) </w:t>
      </w:r>
      <w:r>
        <w:rPr>
          <w:rFonts w:ascii="Arial" w:hAnsi="Arial"/>
        </w:rPr>
        <w:t>&lt; </w:t>
      </w:r>
      <w:r>
        <w:rPr/>
        <w:t>0]</w:t>
      </w:r>
    </w:p>
    <w:p>
      <w:pPr>
        <w:pStyle w:val="BodyText"/>
        <w:rPr>
          <w:sz w:val="3"/>
        </w:rPr>
      </w:pPr>
    </w:p>
    <w:p>
      <w:pPr>
        <w:pStyle w:val="BodyText"/>
        <w:spacing w:line="20" w:lineRule="exact"/>
        <w:ind w:left="114" w:right="-26"/>
        <w:rPr>
          <w:sz w:val="2"/>
        </w:rPr>
      </w:pPr>
      <w:r>
        <w:rPr>
          <w:sz w:val="2"/>
        </w:rPr>
        <w:pict>
          <v:group style="width:131pt;height:.5pt;mso-position-horizontal-relative:char;mso-position-vertical-relative:line" coordorigin="0,0" coordsize="2620,10">
            <v:line style="position:absolute" from="0,5" to="2620,5" stroked="true" strokeweight=".499pt" strokecolor="#000000">
              <v:stroke dashstyle="solid"/>
            </v:line>
          </v:group>
        </w:pict>
      </w:r>
      <w:r>
        <w:rPr>
          <w:sz w:val="2"/>
        </w:rPr>
      </w:r>
    </w:p>
    <w:p>
      <w:pPr>
        <w:pStyle w:val="BodyText"/>
        <w:spacing w:before="7"/>
        <w:ind w:left="88"/>
        <w:jc w:val="center"/>
        <w:rPr>
          <w:rFonts w:ascii="Arial" w:hAnsi="Arial"/>
        </w:rPr>
      </w:pPr>
      <w:r>
        <w:rPr>
          <w:rFonts w:ascii="Arial" w:hAnsi="Arial"/>
        </w:rPr>
        <w:t>Δτ</w:t>
      </w:r>
    </w:p>
    <w:p>
      <w:pPr>
        <w:pStyle w:val="BodyText"/>
        <w:spacing w:before="5"/>
        <w:rPr>
          <w:rFonts w:ascii="Arial"/>
          <w:sz w:val="23"/>
        </w:rPr>
      </w:pPr>
      <w:r>
        <w:rPr/>
        <w:br w:type="column"/>
      </w:r>
      <w:r>
        <w:rPr>
          <w:rFonts w:ascii="Arial"/>
          <w:sz w:val="23"/>
        </w:rPr>
      </w:r>
    </w:p>
    <w:p>
      <w:pPr>
        <w:pStyle w:val="BodyText"/>
        <w:ind w:left="881" w:right="927"/>
        <w:jc w:val="center"/>
      </w:pPr>
      <w:r>
        <w:rPr/>
        <w:t>(B8)</w:t>
      </w:r>
    </w:p>
    <w:p>
      <w:pPr>
        <w:spacing w:after="0"/>
        <w:jc w:val="center"/>
        <w:sectPr>
          <w:type w:val="continuous"/>
          <w:pgSz w:w="11910" w:h="16840"/>
          <w:pgMar w:top="580" w:bottom="280" w:left="1240" w:right="1300"/>
          <w:cols w:num="3" w:equalWidth="0">
            <w:col w:w="1597" w:space="40"/>
            <w:col w:w="2780" w:space="2665"/>
            <w:col w:w="2288"/>
          </w:cols>
        </w:sectPr>
      </w:pPr>
    </w:p>
    <w:p>
      <w:pPr>
        <w:pStyle w:val="BodyText"/>
        <w:rPr>
          <w:sz w:val="20"/>
        </w:rPr>
      </w:pPr>
    </w:p>
    <w:p>
      <w:pPr>
        <w:pStyle w:val="BodyText"/>
        <w:spacing w:line="312" w:lineRule="auto" w:before="214"/>
        <w:ind w:left="177" w:right="110"/>
        <w:jc w:val="both"/>
      </w:pPr>
      <w:r>
        <w:rPr/>
        <w:t>In general, the limit state function </w:t>
      </w:r>
      <w:r>
        <w:rPr>
          <w:i/>
        </w:rPr>
        <w:t>g(.) </w:t>
      </w:r>
      <w:r>
        <w:rPr/>
        <w:t>may be quite complex due to a combination of physical, chemical and mechanical processes. Take as an example the deterioration processes due to carbonation and/or chloride ingress of concrete. After some period of time the carbonation or chloride fronts may reach the reinforcement and corrosion may start, resulting eventually in spalling and later even in failure by collapse due to some large mechanical load (see figure B1). Many parameters like the outside climate, the cover of the concrete, the diffusion properties, the corrosion speed and so on may play a</w:t>
      </w:r>
      <w:r>
        <w:rPr>
          <w:spacing w:val="-4"/>
        </w:rPr>
        <w:t> </w:t>
      </w:r>
      <w:r>
        <w:rPr/>
        <w:t>role.</w:t>
      </w:r>
    </w:p>
    <w:p>
      <w:pPr>
        <w:spacing w:after="0" w:line="312" w:lineRule="auto"/>
        <w:jc w:val="both"/>
        <w:sectPr>
          <w:type w:val="continuous"/>
          <w:pgSz w:w="11910" w:h="16840"/>
          <w:pgMar w:top="580" w:bottom="280" w:left="1240" w:right="1300"/>
        </w:sectPr>
      </w:pPr>
    </w:p>
    <w:p>
      <w:pPr>
        <w:pStyle w:val="BodyText"/>
        <w:rPr>
          <w:sz w:val="13"/>
        </w:rPr>
      </w:pPr>
    </w:p>
    <w:p>
      <w:pPr>
        <w:spacing w:before="91"/>
        <w:ind w:left="1304" w:right="0" w:firstLine="0"/>
        <w:jc w:val="left"/>
        <w:rPr>
          <w:sz w:val="20"/>
        </w:rPr>
      </w:pPr>
      <w:r>
        <w:rPr>
          <w:sz w:val="20"/>
        </w:rPr>
        <w:t>R,S</w:t>
      </w:r>
    </w:p>
    <w:p>
      <w:pPr>
        <w:pStyle w:val="BodyText"/>
        <w:rPr>
          <w:sz w:val="20"/>
        </w:rPr>
      </w:pPr>
    </w:p>
    <w:p>
      <w:pPr>
        <w:pStyle w:val="BodyText"/>
        <w:rPr>
          <w:sz w:val="20"/>
        </w:rPr>
      </w:pPr>
    </w:p>
    <w:p>
      <w:pPr>
        <w:pStyle w:val="BodyText"/>
        <w:rPr>
          <w:sz w:val="25"/>
        </w:rPr>
      </w:pPr>
    </w:p>
    <w:p>
      <w:pPr>
        <w:spacing w:before="91"/>
        <w:ind w:left="1054" w:right="0" w:firstLine="0"/>
        <w:jc w:val="left"/>
        <w:rPr>
          <w:sz w:val="22"/>
        </w:rPr>
      </w:pPr>
      <w:r>
        <w:rPr/>
        <w:pict>
          <v:group style="position:absolute;margin-left:132.839996pt;margin-top:-33.273563pt;width:326.05pt;height:185.3pt;mso-position-horizontal-relative:page;mso-position-vertical-relative:paragraph;z-index:1408" coordorigin="2657,-665" coordsize="6521,3706">
            <v:shape style="position:absolute;left:2680;top:289;width:5412;height:1976" type="#_x0000_t75" stroked="false">
              <v:imagedata r:id="rId6" o:title=""/>
            </v:shape>
            <v:line style="position:absolute" from="2688,2587" to="9005,2587" stroked="true" strokeweight=".72003pt" strokecolor="#000000">
              <v:stroke dashstyle="solid"/>
            </v:line>
            <v:line style="position:absolute" from="2688,-577" to="2688,2587" stroked="true" strokeweight=".48pt" strokecolor="#000000">
              <v:stroke dashstyle="solid"/>
            </v:line>
            <v:shape style="position:absolute;left:2656;top:-666;width:6413;height:3296" coordorigin="2657,-665" coordsize="6413,3296" path="m2686,2587l2683,2587,2683,2591,2686,2591,2686,2587m2693,2587l2686,2579,2686,2587,2693,2587m2719,-545l2710,-577,2686,-665,2657,-545,2686,-577,2719,-545m9070,2587l8986,2541,9005,2587,8986,2630,9070,2587e" filled="true" fillcolor="#000000" stroked="false">
              <v:path arrowok="t"/>
              <v:fill type="solid"/>
            </v:shape>
            <v:line style="position:absolute" from="8033,1456" to="8333,1039" stroked="true" strokeweight=".24pt" strokecolor="#000000">
              <v:stroke dashstyle="solid"/>
            </v:line>
            <v:shape style="position:absolute;left:7996;top:1415;width:70;height:92" coordorigin="7997,1415" coordsize="70,92" path="m8028,1415l7997,1507,8066,1466,8033,1456,8028,1415xe" filled="true" fillcolor="#000000" stroked="false">
              <v:path arrowok="t"/>
              <v:fill type="solid"/>
            </v:shape>
            <v:line style="position:absolute" from="4500,2498" to="4502,314" stroked="true" strokeweight=".24pt" strokecolor="#000000">
              <v:stroke dashstyle="solid"/>
            </v:line>
            <v:shape style="position:absolute;left:8025;top:592;width:1152;height:2448" coordorigin="8026,592" coordsize="1152,2448" path="m9034,2608l8170,2608,8170,3040,9034,3040,9034,2608m9178,592l8026,592,8026,1024,9178,1024,9178,592e" filled="true" fillcolor="#ffffff" stroked="false">
              <v:path arrowok="t"/>
              <v:fill type="solid"/>
            </v:shape>
            <v:line style="position:absolute" from="2686,-541" to="2686,2548" stroked="true" strokeweight=".72pt" strokecolor="#000000">
              <v:stroke dashstyle="solid"/>
            </v:line>
            <v:shape style="position:absolute;left:5906;top:25;width:392;height:255" type="#_x0000_t202" filled="false" stroked="false">
              <v:textbox inset="0,0,0,0">
                <w:txbxContent>
                  <w:p>
                    <w:pPr>
                      <w:spacing w:before="13"/>
                      <w:ind w:left="0" w:right="0" w:firstLine="0"/>
                      <w:jc w:val="left"/>
                      <w:rPr>
                        <w:sz w:val="20"/>
                      </w:rPr>
                    </w:pPr>
                    <w:r>
                      <w:rPr>
                        <w:sz w:val="20"/>
                      </w:rPr>
                      <w:t>R </w:t>
                    </w:r>
                    <w:r>
                      <w:rPr>
                        <w:spacing w:val="-5"/>
                        <w:sz w:val="20"/>
                      </w:rPr>
                      <w:t>(</w:t>
                    </w:r>
                    <w:r>
                      <w:rPr>
                        <w:rFonts w:ascii="Arial" w:hAnsi="Arial"/>
                        <w:spacing w:val="-5"/>
                        <w:position w:val="1"/>
                        <w:sz w:val="20"/>
                      </w:rPr>
                      <w:t>τ</w:t>
                    </w:r>
                    <w:r>
                      <w:rPr>
                        <w:spacing w:val="-5"/>
                        <w:sz w:val="20"/>
                      </w:rPr>
                      <w:t>)</w:t>
                    </w:r>
                  </w:p>
                </w:txbxContent>
              </v:textbox>
              <w10:wrap type="none"/>
            </v:shape>
            <v:shape style="position:absolute;left:8169;top:702;width:544;height:221" type="#_x0000_t202" filled="false" stroked="false">
              <v:textbox inset="0,0,0,0">
                <w:txbxContent>
                  <w:p>
                    <w:pPr>
                      <w:spacing w:line="221" w:lineRule="exact" w:before="0"/>
                      <w:ind w:left="0" w:right="0" w:firstLine="0"/>
                      <w:jc w:val="left"/>
                      <w:rPr>
                        <w:sz w:val="20"/>
                      </w:rPr>
                    </w:pPr>
                    <w:r>
                      <w:rPr>
                        <w:sz w:val="20"/>
                      </w:rPr>
                      <w:t>failure</w:t>
                    </w:r>
                  </w:p>
                </w:txbxContent>
              </v:textbox>
              <w10:wrap type="none"/>
            </v:shape>
            <v:shape style="position:absolute;left:3868;top:1585;width:131;height:221" type="#_x0000_t202" filled="false" stroked="false">
              <v:textbox inset="0,0,0,0">
                <w:txbxContent>
                  <w:p>
                    <w:pPr>
                      <w:spacing w:line="221" w:lineRule="exact" w:before="0"/>
                      <w:ind w:left="0" w:right="0" w:firstLine="0"/>
                      <w:jc w:val="left"/>
                      <w:rPr>
                        <w:sz w:val="20"/>
                      </w:rPr>
                    </w:pPr>
                    <w:r>
                      <w:rPr>
                        <w:w w:val="99"/>
                        <w:sz w:val="20"/>
                      </w:rPr>
                      <w:t>S</w:t>
                    </w:r>
                  </w:p>
                </w:txbxContent>
              </v:textbox>
              <w10:wrap type="none"/>
            </v:shape>
            <v:shape style="position:absolute;left:3129;top:2718;width:742;height:221" type="#_x0000_t202" filled="false" stroked="false">
              <v:textbox inset="0,0,0,0">
                <w:txbxContent>
                  <w:p>
                    <w:pPr>
                      <w:spacing w:line="221" w:lineRule="exact" w:before="0"/>
                      <w:ind w:left="0" w:right="0" w:firstLine="0"/>
                      <w:jc w:val="left"/>
                      <w:rPr>
                        <w:sz w:val="20"/>
                      </w:rPr>
                    </w:pPr>
                    <w:r>
                      <w:rPr>
                        <w:sz w:val="20"/>
                      </w:rPr>
                      <w:t>initiation</w:t>
                    </w:r>
                  </w:p>
                </w:txbxContent>
              </v:textbox>
              <w10:wrap type="none"/>
            </v:shape>
            <v:shape style="position:absolute;left:5721;top:2718;width:977;height:221" type="#_x0000_t202" filled="false" stroked="false">
              <v:textbox inset="0,0,0,0">
                <w:txbxContent>
                  <w:p>
                    <w:pPr>
                      <w:spacing w:line="221" w:lineRule="exact" w:before="0"/>
                      <w:ind w:left="0" w:right="0" w:firstLine="0"/>
                      <w:jc w:val="left"/>
                      <w:rPr>
                        <w:sz w:val="20"/>
                      </w:rPr>
                    </w:pPr>
                    <w:r>
                      <w:rPr>
                        <w:sz w:val="20"/>
                      </w:rPr>
                      <w:t>propagation</w:t>
                    </w:r>
                  </w:p>
                </w:txbxContent>
              </v:textbox>
              <w10:wrap type="none"/>
            </v:shape>
            <v:shape style="position:absolute;left:8313;top:2718;width:375;height:221" type="#_x0000_t202" filled="false" stroked="false">
              <v:textbox inset="0,0,0,0">
                <w:txbxContent>
                  <w:p>
                    <w:pPr>
                      <w:spacing w:line="221" w:lineRule="exact" w:before="0"/>
                      <w:ind w:left="0" w:right="0" w:firstLine="0"/>
                      <w:jc w:val="left"/>
                      <w:rPr>
                        <w:sz w:val="20"/>
                      </w:rPr>
                    </w:pPr>
                    <w:r>
                      <w:rPr>
                        <w:sz w:val="20"/>
                      </w:rPr>
                      <w:t>time</w:t>
                    </w:r>
                  </w:p>
                </w:txbxContent>
              </v:textbox>
              <w10:wrap type="none"/>
            </v:shape>
            <w10:wrap type="none"/>
          </v:group>
        </w:pict>
      </w:r>
      <w:r>
        <w:rPr>
          <w:sz w:val="20"/>
        </w:rPr>
        <w:t>R</w:t>
      </w:r>
      <w:r>
        <w:rPr>
          <w:position w:val="-11"/>
          <w:sz w:val="22"/>
        </w:rPr>
        <w:t>0</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7"/>
        <w:rPr>
          <w:sz w:val="14"/>
        </w:rPr>
      </w:pPr>
      <w:r>
        <w:rPr/>
        <w:pict>
          <v:group style="position:absolute;margin-left:133.919998pt;margin-top:10.350195pt;width:268.350pt;height:6.5pt;mso-position-horizontal-relative:page;mso-position-vertical-relative:paragraph;z-index:1216;mso-wrap-distance-left:0;mso-wrap-distance-right:0" coordorigin="2678,207" coordsize="5367,130">
            <v:line style="position:absolute" from="2770,274" to="4445,277" stroked="true" strokeweight=".36pt" strokecolor="#000000">
              <v:stroke dashstyle="solid"/>
            </v:line>
            <v:shape style="position:absolute;left:2678;top:207;width:123;height:130" coordorigin="2678,207" coordsize="123,130" path="m2801,207l2678,274,2801,337,2770,274,2801,207xe" filled="true" fillcolor="#000000" stroked="false">
              <v:path arrowok="t"/>
              <v:fill type="solid"/>
            </v:shape>
            <v:shape style="position:absolute;left:4413;top:207;width:123;height:130" coordorigin="4414,207" coordsize="123,130" path="m4414,207l4445,274,4414,337,4536,274,4414,207xe" filled="true" fillcolor="#000000" stroked="false">
              <v:path arrowok="t"/>
              <v:fill type="solid"/>
            </v:shape>
            <v:line style="position:absolute" from="4565,274" to="7954,274" stroked="true" strokeweight=".36pt" strokecolor="#000000">
              <v:stroke dashstyle="solid"/>
            </v:line>
            <v:shape style="position:absolute;left:4471;top:207;width:125;height:130" coordorigin="4471,207" coordsize="125,130" path="m4596,207l4471,274,4596,337,4565,274,4596,207xe" filled="true" fillcolor="#000000" stroked="false">
              <v:path arrowok="t"/>
              <v:fill type="solid"/>
            </v:shape>
            <v:shape style="position:absolute;left:7922;top:207;width:123;height:130" coordorigin="7922,207" coordsize="123,130" path="m7922,207l7954,274,7922,337,8045,274,7922,207xe" filled="true" fillcolor="#000000" stroked="false">
              <v:path arrowok="t"/>
              <v:fill type="solid"/>
            </v:shape>
            <w10:wrap type="topAndBottom"/>
          </v:group>
        </w:pict>
      </w:r>
    </w:p>
    <w:p>
      <w:pPr>
        <w:pStyle w:val="BodyText"/>
        <w:spacing w:before="1"/>
        <w:rPr>
          <w:sz w:val="21"/>
        </w:rPr>
      </w:pPr>
    </w:p>
    <w:p>
      <w:pPr>
        <w:pStyle w:val="BodyText"/>
        <w:spacing w:line="364" w:lineRule="auto" w:before="90"/>
        <w:ind w:left="177" w:right="482"/>
      </w:pPr>
      <w:r>
        <w:rPr/>
        <w:t>Figure B1: Failure due to a combination of physical and chemical processes and a variable mechanical load</w:t>
      </w:r>
    </w:p>
    <w:p>
      <w:pPr>
        <w:pStyle w:val="BodyText"/>
        <w:rPr>
          <w:sz w:val="26"/>
        </w:rPr>
      </w:pPr>
    </w:p>
    <w:p>
      <w:pPr>
        <w:pStyle w:val="BodyText"/>
        <w:rPr>
          <w:sz w:val="26"/>
        </w:rPr>
      </w:pPr>
    </w:p>
    <w:p>
      <w:pPr>
        <w:pStyle w:val="BodyText"/>
        <w:spacing w:before="5"/>
        <w:rPr>
          <w:sz w:val="21"/>
        </w:rPr>
      </w:pPr>
    </w:p>
    <w:p>
      <w:pPr>
        <w:pStyle w:val="Heading2"/>
        <w:ind w:left="177" w:firstLine="0"/>
      </w:pPr>
      <w:bookmarkStart w:name="_TOC_250014" w:id="36"/>
      <w:bookmarkEnd w:id="36"/>
      <w:r>
        <w:rPr/>
        <w:t>9.2 Modelling of deterioration processes</w:t>
      </w:r>
    </w:p>
    <w:p>
      <w:pPr>
        <w:pStyle w:val="BodyText"/>
        <w:spacing w:line="312" w:lineRule="auto" w:before="202"/>
        <w:ind w:left="177"/>
      </w:pPr>
      <w:r>
        <w:rPr/>
        <w:t>In this Annex we will restrict the discussion to a family of relatively simple damage accumulation processes that can be described by the following differential equation:</w:t>
      </w:r>
    </w:p>
    <w:p>
      <w:pPr>
        <w:pStyle w:val="BodyText"/>
        <w:spacing w:before="7"/>
        <w:rPr>
          <w:sz w:val="25"/>
        </w:rPr>
      </w:pPr>
    </w:p>
    <w:p>
      <w:pPr>
        <w:tabs>
          <w:tab w:pos="7978" w:val="left" w:leader="none"/>
        </w:tabs>
        <w:spacing w:line="354" w:lineRule="exact" w:before="0"/>
        <w:ind w:left="939" w:right="0" w:firstLine="0"/>
        <w:jc w:val="left"/>
        <w:rPr>
          <w:sz w:val="24"/>
        </w:rPr>
      </w:pPr>
      <w:r>
        <w:rPr/>
        <w:pict>
          <v:line style="position:absolute;mso-position-horizontal-relative:page;mso-position-vertical-relative:paragraph;z-index:-58720" from="108.300003pt,14.509817pt" to="120.600003pt,14.509817pt" stroked="true" strokeweight=".499pt" strokecolor="#000000">
            <v:stroke dashstyle="solid"/>
            <w10:wrap type="none"/>
          </v:line>
        </w:pict>
      </w:r>
      <w:r>
        <w:rPr>
          <w:position w:val="14"/>
          <w:sz w:val="22"/>
        </w:rPr>
        <w:t>dy  </w:t>
      </w:r>
      <w:r>
        <w:rPr>
          <w:sz w:val="24"/>
        </w:rPr>
        <w:t>=</w:t>
      </w:r>
      <w:r>
        <w:rPr>
          <w:spacing w:val="3"/>
          <w:sz w:val="24"/>
        </w:rPr>
        <w:t> </w:t>
      </w:r>
      <w:r>
        <w:rPr>
          <w:sz w:val="24"/>
        </w:rPr>
        <w:t>y</w:t>
      </w:r>
      <w:r>
        <w:rPr>
          <w:sz w:val="24"/>
          <w:vertAlign w:val="superscript"/>
        </w:rPr>
        <w:t>k</w:t>
      </w:r>
      <w:r>
        <w:rPr>
          <w:spacing w:val="-21"/>
          <w:sz w:val="24"/>
          <w:vertAlign w:val="baseline"/>
        </w:rPr>
        <w:t> </w:t>
      </w:r>
      <w:r>
        <w:rPr>
          <w:sz w:val="24"/>
          <w:vertAlign w:val="baseline"/>
        </w:rPr>
        <w:t>h(z)</w:t>
        <w:tab/>
        <w:t>(B9)</w:t>
      </w:r>
    </w:p>
    <w:p>
      <w:pPr>
        <w:spacing w:line="210" w:lineRule="exact" w:before="0"/>
        <w:ind w:left="959" w:right="0" w:firstLine="0"/>
        <w:jc w:val="left"/>
        <w:rPr>
          <w:sz w:val="22"/>
        </w:rPr>
      </w:pPr>
      <w:r>
        <w:rPr>
          <w:sz w:val="22"/>
        </w:rPr>
        <w:t>dt</w:t>
      </w:r>
    </w:p>
    <w:p>
      <w:pPr>
        <w:pStyle w:val="BodyText"/>
        <w:rPr>
          <w:sz w:val="20"/>
        </w:rPr>
      </w:pPr>
    </w:p>
    <w:p>
      <w:pPr>
        <w:pStyle w:val="BodyText"/>
        <w:spacing w:before="213"/>
        <w:ind w:left="177"/>
      </w:pPr>
      <w:r>
        <w:rPr/>
        <w:t>where</w:t>
      </w:r>
    </w:p>
    <w:p>
      <w:pPr>
        <w:pStyle w:val="BodyText"/>
        <w:spacing w:before="6"/>
        <w:rPr>
          <w:sz w:val="38"/>
        </w:rPr>
      </w:pPr>
    </w:p>
    <w:p>
      <w:pPr>
        <w:pStyle w:val="BodyText"/>
        <w:tabs>
          <w:tab w:pos="885" w:val="left" w:leader="none"/>
        </w:tabs>
        <w:spacing w:before="1"/>
        <w:ind w:left="177"/>
      </w:pPr>
      <w:r>
        <w:rPr/>
        <w:t>y(t)</w:t>
        <w:tab/>
        <w:t>= damage</w:t>
      </w:r>
      <w:r>
        <w:rPr>
          <w:spacing w:val="-1"/>
        </w:rPr>
        <w:t> </w:t>
      </w:r>
      <w:r>
        <w:rPr/>
        <w:t>indicator</w:t>
      </w:r>
    </w:p>
    <w:p>
      <w:pPr>
        <w:pStyle w:val="BodyText"/>
        <w:tabs>
          <w:tab w:pos="885" w:val="left" w:leader="none"/>
        </w:tabs>
        <w:spacing w:line="312" w:lineRule="auto" w:before="84"/>
        <w:ind w:left="177" w:right="5245"/>
      </w:pPr>
      <w:r>
        <w:rPr/>
        <w:t>z(t)</w:t>
        <w:tab/>
        <w:t>= random process of disturbances h(.)</w:t>
        <w:tab/>
        <w:t>= positive definite function of</w:t>
      </w:r>
      <w:r>
        <w:rPr>
          <w:spacing w:val="-3"/>
        </w:rPr>
        <w:t> </w:t>
      </w:r>
      <w:r>
        <w:rPr/>
        <w:t>z</w:t>
      </w:r>
    </w:p>
    <w:p>
      <w:pPr>
        <w:pStyle w:val="BodyText"/>
        <w:tabs>
          <w:tab w:pos="886" w:val="left" w:leader="none"/>
        </w:tabs>
        <w:spacing w:line="626" w:lineRule="auto" w:before="2"/>
        <w:ind w:left="177" w:right="3690"/>
      </w:pPr>
      <w:r>
        <w:rPr/>
        <w:t>k</w:t>
        <w:tab/>
        <w:t>= parameter determining the nature of the process From B(9) we may arrive</w:t>
      </w:r>
      <w:r>
        <w:rPr>
          <w:spacing w:val="-4"/>
        </w:rPr>
        <w:t> </w:t>
      </w:r>
      <w:r>
        <w:rPr/>
        <w:t>at:</w:t>
      </w:r>
    </w:p>
    <w:p>
      <w:pPr>
        <w:spacing w:after="0" w:line="626" w:lineRule="auto"/>
        <w:sectPr>
          <w:pgSz w:w="11910" w:h="16840"/>
          <w:pgMar w:header="0" w:footer="788" w:top="1600" w:bottom="980" w:left="1240" w:right="1300"/>
        </w:sectPr>
      </w:pPr>
    </w:p>
    <w:p>
      <w:pPr>
        <w:spacing w:line="103" w:lineRule="exact" w:before="0"/>
        <w:ind w:left="0" w:right="8" w:firstLine="0"/>
        <w:jc w:val="right"/>
        <w:rPr>
          <w:sz w:val="14"/>
        </w:rPr>
      </w:pPr>
      <w:r>
        <w:rPr>
          <w:i/>
          <w:sz w:val="14"/>
        </w:rPr>
        <w:t>y </w:t>
      </w:r>
      <w:r>
        <w:rPr>
          <w:sz w:val="14"/>
        </w:rPr>
        <w:t>(</w:t>
      </w:r>
      <w:r>
        <w:rPr>
          <w:i/>
          <w:sz w:val="14"/>
        </w:rPr>
        <w:t>t </w:t>
      </w:r>
      <w:r>
        <w:rPr>
          <w:sz w:val="14"/>
        </w:rPr>
        <w:t>)</w:t>
      </w:r>
    </w:p>
    <w:p>
      <w:pPr>
        <w:pStyle w:val="Heading1"/>
        <w:spacing w:line="397" w:lineRule="exact"/>
        <w:ind w:right="81"/>
        <w:jc w:val="right"/>
      </w:pPr>
      <w:r>
        <w:rPr/>
        <w:t>∫</w:t>
      </w:r>
    </w:p>
    <w:p>
      <w:pPr>
        <w:spacing w:line="144" w:lineRule="exact" w:before="0"/>
        <w:ind w:left="0" w:right="0" w:firstLine="0"/>
        <w:jc w:val="right"/>
        <w:rPr>
          <w:sz w:val="14"/>
        </w:rPr>
      </w:pPr>
      <w:r>
        <w:rPr>
          <w:i/>
          <w:sz w:val="14"/>
        </w:rPr>
        <w:t>y </w:t>
      </w:r>
      <w:r>
        <w:rPr>
          <w:sz w:val="14"/>
        </w:rPr>
        <w:t>(0)</w:t>
      </w:r>
    </w:p>
    <w:p>
      <w:pPr>
        <w:spacing w:line="113" w:lineRule="exact" w:before="0"/>
        <w:ind w:left="0" w:right="33" w:firstLine="0"/>
        <w:jc w:val="right"/>
        <w:rPr>
          <w:i/>
          <w:sz w:val="14"/>
        </w:rPr>
      </w:pPr>
      <w:r>
        <w:rPr/>
        <w:br w:type="column"/>
      </w:r>
      <w:r>
        <w:rPr>
          <w:i/>
          <w:sz w:val="14"/>
        </w:rPr>
        <w:t>t</w:t>
      </w:r>
    </w:p>
    <w:p>
      <w:pPr>
        <w:pStyle w:val="ListParagraph"/>
        <w:numPr>
          <w:ilvl w:val="1"/>
          <w:numId w:val="16"/>
        </w:numPr>
        <w:tabs>
          <w:tab w:pos="369" w:val="left" w:leader="none"/>
        </w:tabs>
        <w:spacing w:line="393" w:lineRule="exact" w:before="0" w:after="0"/>
        <w:ind w:left="368" w:right="0" w:hanging="314"/>
        <w:jc w:val="right"/>
        <w:rPr>
          <w:rFonts w:ascii="Arial" w:hAnsi="Arial"/>
          <w:sz w:val="36"/>
        </w:rPr>
      </w:pPr>
      <w:r>
        <w:rPr>
          <w:sz w:val="24"/>
          <w:vertAlign w:val="baseline"/>
        </w:rPr>
        <w:t>dy  =</w:t>
      </w:r>
      <w:r>
        <w:rPr>
          <w:spacing w:val="45"/>
          <w:sz w:val="24"/>
          <w:vertAlign w:val="baseline"/>
        </w:rPr>
        <w:t> </w:t>
      </w:r>
      <w:r>
        <w:rPr>
          <w:rFonts w:ascii="Arial" w:hAnsi="Arial"/>
          <w:position w:val="-8"/>
          <w:sz w:val="36"/>
          <w:vertAlign w:val="baseline"/>
        </w:rPr>
        <w:t>∫</w:t>
      </w:r>
    </w:p>
    <w:p>
      <w:pPr>
        <w:spacing w:line="143" w:lineRule="exact" w:before="0"/>
        <w:ind w:left="0" w:right="12" w:firstLine="0"/>
        <w:jc w:val="right"/>
        <w:rPr>
          <w:sz w:val="14"/>
        </w:rPr>
      </w:pPr>
      <w:r>
        <w:rPr>
          <w:sz w:val="14"/>
        </w:rPr>
        <w:t>0</w:t>
      </w:r>
    </w:p>
    <w:p>
      <w:pPr>
        <w:pStyle w:val="BodyText"/>
        <w:tabs>
          <w:tab w:pos="5574" w:val="left" w:leader="none"/>
        </w:tabs>
        <w:spacing w:before="133"/>
        <w:ind w:left="142"/>
      </w:pPr>
      <w:r>
        <w:rPr/>
        <w:br w:type="column"/>
      </w:r>
      <w:r>
        <w:rPr/>
        <w:t>h(z(</w:t>
      </w:r>
      <w:r>
        <w:rPr>
          <w:rFonts w:ascii="Arial" w:hAnsi="Arial"/>
        </w:rPr>
        <w:t>τ</w:t>
      </w:r>
      <w:r>
        <w:rPr/>
        <w:t>))</w:t>
      </w:r>
      <w:r>
        <w:rPr>
          <w:spacing w:val="5"/>
        </w:rPr>
        <w:t> </w:t>
      </w:r>
      <w:r>
        <w:rPr/>
        <w:t>d</w:t>
      </w:r>
      <w:r>
        <w:rPr>
          <w:rFonts w:ascii="Arial" w:hAnsi="Arial"/>
        </w:rPr>
        <w:t>τ</w:t>
        <w:tab/>
      </w:r>
      <w:r>
        <w:rPr/>
        <w:t>(B10)</w:t>
      </w:r>
    </w:p>
    <w:p>
      <w:pPr>
        <w:spacing w:after="0"/>
        <w:sectPr>
          <w:type w:val="continuous"/>
          <w:pgSz w:w="11910" w:h="16840"/>
          <w:pgMar w:top="580" w:bottom="280" w:left="1240" w:right="1300"/>
          <w:cols w:num="3" w:equalWidth="0">
            <w:col w:w="1202" w:space="40"/>
            <w:col w:w="1122" w:space="39"/>
            <w:col w:w="6967"/>
          </w:cols>
        </w:sectPr>
      </w:pPr>
    </w:p>
    <w:p>
      <w:pPr>
        <w:pStyle w:val="BodyText"/>
        <w:spacing w:line="312" w:lineRule="auto" w:before="101"/>
        <w:ind w:left="177" w:hanging="1"/>
      </w:pPr>
      <w:r>
        <w:rPr/>
        <w:t>Defining </w:t>
      </w:r>
      <w:r>
        <w:rPr>
          <w:rFonts w:ascii="Arial" w:hAnsi="Arial"/>
        </w:rPr>
        <w:t>Ψ</w:t>
      </w:r>
      <w:r>
        <w:rPr/>
        <w:t>(y) as the integral function of y</w:t>
      </w:r>
      <w:r>
        <w:rPr>
          <w:vertAlign w:val="superscript"/>
        </w:rPr>
        <w:t>--k</w:t>
      </w:r>
      <w:r>
        <w:rPr>
          <w:vertAlign w:val="baseline"/>
        </w:rPr>
        <w:t> and </w:t>
      </w:r>
      <w:r>
        <w:rPr>
          <w:rFonts w:ascii="Arial" w:hAnsi="Arial"/>
          <w:vertAlign w:val="baseline"/>
        </w:rPr>
        <w:t>χ</w:t>
      </w:r>
      <w:r>
        <w:rPr>
          <w:vertAlign w:val="baseline"/>
        </w:rPr>
        <w:t>(t</w:t>
      </w:r>
      <w:r>
        <w:rPr>
          <w:i/>
          <w:vertAlign w:val="baseline"/>
        </w:rPr>
        <w:t>) </w:t>
      </w:r>
      <w:r>
        <w:rPr>
          <w:vertAlign w:val="baseline"/>
        </w:rPr>
        <w:t>as the right hand side integral of (B10), this can be written as:</w:t>
      </w:r>
    </w:p>
    <w:p>
      <w:pPr>
        <w:pStyle w:val="BodyText"/>
        <w:spacing w:before="4"/>
        <w:rPr>
          <w:sz w:val="31"/>
        </w:rPr>
      </w:pPr>
    </w:p>
    <w:p>
      <w:pPr>
        <w:pStyle w:val="BodyText"/>
        <w:ind w:left="886"/>
      </w:pPr>
      <w:r>
        <w:rPr>
          <w:rFonts w:ascii="Arial" w:hAnsi="Arial"/>
        </w:rPr>
        <w:t>Ψ</w:t>
      </w:r>
      <w:r>
        <w:rPr/>
        <w:t>(y(t)) - </w:t>
      </w:r>
      <w:r>
        <w:rPr>
          <w:rFonts w:ascii="Arial" w:hAnsi="Arial"/>
        </w:rPr>
        <w:t>Ψ</w:t>
      </w:r>
      <w:r>
        <w:rPr/>
        <w:t>(y(0)) = </w:t>
      </w:r>
      <w:r>
        <w:rPr>
          <w:rFonts w:ascii="Arial" w:hAnsi="Arial"/>
        </w:rPr>
        <w:t>χ</w:t>
      </w:r>
      <w:r>
        <w:rPr/>
        <w:t>(t)</w:t>
      </w:r>
    </w:p>
    <w:p>
      <w:pPr>
        <w:pStyle w:val="BodyText"/>
        <w:spacing w:before="6"/>
        <w:rPr>
          <w:sz w:val="38"/>
        </w:rPr>
      </w:pPr>
    </w:p>
    <w:p>
      <w:pPr>
        <w:pStyle w:val="BodyText"/>
        <w:spacing w:line="312" w:lineRule="auto"/>
        <w:ind w:left="177"/>
      </w:pPr>
      <w:r>
        <w:rPr/>
        <w:t>If z(t) is stationary and ergodic, </w:t>
      </w:r>
      <w:r>
        <w:rPr>
          <w:rFonts w:ascii="Arial" w:hAnsi="Arial"/>
        </w:rPr>
        <w:t>χ</w:t>
      </w:r>
      <w:r>
        <w:rPr/>
        <w:t>(t) may asymptotically be taken as implying that the damage increases smoothly:</w:t>
      </w:r>
    </w:p>
    <w:p>
      <w:pPr>
        <w:pStyle w:val="BodyText"/>
        <w:spacing w:before="5"/>
        <w:rPr>
          <w:sz w:val="31"/>
        </w:rPr>
      </w:pPr>
    </w:p>
    <w:p>
      <w:pPr>
        <w:pStyle w:val="BodyText"/>
        <w:tabs>
          <w:tab w:pos="7978" w:val="left" w:leader="none"/>
        </w:tabs>
        <w:ind w:left="897"/>
      </w:pPr>
      <w:r>
        <w:rPr>
          <w:rFonts w:ascii="Arial" w:hAnsi="Arial"/>
        </w:rPr>
        <w:t>χ</w:t>
      </w:r>
      <w:r>
        <w:rPr/>
        <w:t>(t) =</w:t>
      </w:r>
      <w:r>
        <w:rPr>
          <w:spacing w:val="1"/>
        </w:rPr>
        <w:t> </w:t>
      </w:r>
      <w:r>
        <w:rPr/>
        <w:t>t</w:t>
      </w:r>
      <w:r>
        <w:rPr>
          <w:spacing w:val="0"/>
        </w:rPr>
        <w:t> </w:t>
      </w:r>
      <w:r>
        <w:rPr/>
        <w:t>E{h(z(t)}</w:t>
        <w:tab/>
        <w:t>(B11)</w:t>
      </w:r>
    </w:p>
    <w:p>
      <w:pPr>
        <w:pStyle w:val="BodyText"/>
        <w:spacing w:before="7"/>
        <w:rPr>
          <w:sz w:val="38"/>
        </w:rPr>
      </w:pPr>
    </w:p>
    <w:p>
      <w:pPr>
        <w:pStyle w:val="BodyText"/>
        <w:spacing w:line="312" w:lineRule="auto"/>
        <w:ind w:left="177" w:hanging="1"/>
      </w:pPr>
      <w:r>
        <w:rPr/>
        <w:t>Failure will occur if de damage y(t) exceeds some critical value y</w:t>
      </w:r>
      <w:r>
        <w:rPr>
          <w:vertAlign w:val="subscript"/>
        </w:rPr>
        <w:t>cr</w:t>
      </w:r>
      <w:r>
        <w:rPr>
          <w:vertAlign w:val="baseline"/>
        </w:rPr>
        <w:t>, which leads finally to the following expression for the limit state function:</w:t>
      </w:r>
    </w:p>
    <w:p>
      <w:pPr>
        <w:pStyle w:val="BodyText"/>
        <w:spacing w:before="5"/>
        <w:rPr>
          <w:sz w:val="31"/>
        </w:rPr>
      </w:pPr>
    </w:p>
    <w:p>
      <w:pPr>
        <w:pStyle w:val="BodyText"/>
        <w:tabs>
          <w:tab w:pos="8687" w:val="left" w:leader="none"/>
        </w:tabs>
        <w:ind w:left="886"/>
      </w:pPr>
      <w:r>
        <w:rPr/>
        <w:t>g(t) = </w:t>
      </w:r>
      <w:r>
        <w:rPr>
          <w:rFonts w:ascii="Arial" w:hAnsi="Arial"/>
        </w:rPr>
        <w:t>Ψ</w:t>
      </w:r>
      <w:r>
        <w:rPr/>
        <w:t>( y</w:t>
      </w:r>
      <w:r>
        <w:rPr>
          <w:vertAlign w:val="subscript"/>
        </w:rPr>
        <w:t>cr</w:t>
      </w:r>
      <w:r>
        <w:rPr>
          <w:vertAlign w:val="baseline"/>
        </w:rPr>
        <w:t> (t)) - </w:t>
      </w:r>
      <w:r>
        <w:rPr>
          <w:rFonts w:ascii="Arial" w:hAnsi="Arial"/>
          <w:vertAlign w:val="baseline"/>
        </w:rPr>
        <w:t>Ψ</w:t>
      </w:r>
      <w:r>
        <w:rPr>
          <w:vertAlign w:val="baseline"/>
        </w:rPr>
        <w:t>(y(0))</w:t>
      </w:r>
      <w:r>
        <w:rPr>
          <w:spacing w:val="-35"/>
          <w:vertAlign w:val="baseline"/>
        </w:rPr>
        <w:t> </w:t>
      </w:r>
      <w:r>
        <w:rPr>
          <w:vertAlign w:val="baseline"/>
        </w:rPr>
        <w:t>-</w:t>
      </w:r>
      <w:r>
        <w:rPr>
          <w:spacing w:val="-3"/>
          <w:vertAlign w:val="baseline"/>
        </w:rPr>
        <w:t> </w:t>
      </w:r>
      <w:r>
        <w:rPr>
          <w:rFonts w:ascii="Arial" w:hAnsi="Arial"/>
          <w:vertAlign w:val="baseline"/>
        </w:rPr>
        <w:t>χ</w:t>
      </w:r>
      <w:r>
        <w:rPr>
          <w:vertAlign w:val="baseline"/>
        </w:rPr>
        <w:t>(t)</w:t>
        <w:tab/>
        <w:t>(B12)</w:t>
      </w:r>
    </w:p>
    <w:p>
      <w:pPr>
        <w:pStyle w:val="BodyText"/>
        <w:spacing w:before="7"/>
        <w:rPr>
          <w:sz w:val="38"/>
        </w:rPr>
      </w:pPr>
    </w:p>
    <w:p>
      <w:pPr>
        <w:pStyle w:val="BodyText"/>
        <w:spacing w:line="312" w:lineRule="auto"/>
        <w:ind w:left="177" w:right="191"/>
      </w:pPr>
      <w:r>
        <w:rPr/>
        <w:t>The critical value y</w:t>
      </w:r>
      <w:r>
        <w:rPr>
          <w:vertAlign w:val="subscript"/>
        </w:rPr>
        <w:t>cr</w:t>
      </w:r>
      <w:r>
        <w:rPr>
          <w:vertAlign w:val="baseline"/>
        </w:rPr>
        <w:t> may be a constant or time dependent. If y</w:t>
      </w:r>
      <w:r>
        <w:rPr>
          <w:vertAlign w:val="subscript"/>
        </w:rPr>
        <w:t>cr</w:t>
      </w:r>
      <w:r>
        <w:rPr>
          <w:vertAlign w:val="baseline"/>
        </w:rPr>
        <w:t> is a constant we may use (B3), to find the failure probability. If y</w:t>
      </w:r>
      <w:r>
        <w:rPr>
          <w:vertAlign w:val="subscript"/>
        </w:rPr>
        <w:t>cr</w:t>
      </w:r>
      <w:r>
        <w:rPr>
          <w:spacing w:val="-44"/>
          <w:vertAlign w:val="baseline"/>
        </w:rPr>
        <w:t> </w:t>
      </w:r>
      <w:r>
        <w:rPr>
          <w:vertAlign w:val="baseline"/>
        </w:rPr>
        <w:t>is time dependent we have a first passage problem.</w:t>
      </w:r>
    </w:p>
    <w:p>
      <w:pPr>
        <w:pStyle w:val="BodyText"/>
        <w:rPr>
          <w:sz w:val="28"/>
        </w:rPr>
      </w:pPr>
    </w:p>
    <w:p>
      <w:pPr>
        <w:spacing w:before="199"/>
        <w:ind w:left="177" w:right="0" w:firstLine="0"/>
        <w:jc w:val="left"/>
        <w:rPr>
          <w:i/>
          <w:sz w:val="24"/>
        </w:rPr>
      </w:pPr>
      <w:r>
        <w:rPr>
          <w:i/>
          <w:sz w:val="24"/>
          <w:u w:val="single"/>
        </w:rPr>
        <w:t>Characteristic examples</w:t>
      </w:r>
    </w:p>
    <w:p>
      <w:pPr>
        <w:pStyle w:val="BodyText"/>
        <w:rPr>
          <w:i/>
          <w:sz w:val="20"/>
        </w:rPr>
      </w:pPr>
    </w:p>
    <w:p>
      <w:pPr>
        <w:pStyle w:val="BodyText"/>
        <w:rPr>
          <w:i/>
          <w:sz w:val="16"/>
        </w:rPr>
      </w:pPr>
    </w:p>
    <w:p>
      <w:pPr>
        <w:pStyle w:val="ListParagraph"/>
        <w:numPr>
          <w:ilvl w:val="2"/>
          <w:numId w:val="16"/>
        </w:numPr>
        <w:tabs>
          <w:tab w:pos="538" w:val="left" w:leader="none"/>
        </w:tabs>
        <w:spacing w:line="240" w:lineRule="auto" w:before="90" w:after="0"/>
        <w:ind w:left="537" w:right="0" w:hanging="360"/>
        <w:jc w:val="left"/>
        <w:rPr>
          <w:i/>
          <w:sz w:val="24"/>
        </w:rPr>
      </w:pPr>
      <w:r>
        <w:rPr>
          <w:i/>
          <w:sz w:val="24"/>
        </w:rPr>
        <w:t>Abrasion / corrosion modelling</w:t>
      </w:r>
    </w:p>
    <w:p>
      <w:pPr>
        <w:pStyle w:val="BodyText"/>
        <w:spacing w:before="6"/>
        <w:rPr>
          <w:i/>
          <w:sz w:val="38"/>
        </w:rPr>
      </w:pPr>
    </w:p>
    <w:p>
      <w:pPr>
        <w:pStyle w:val="BodyText"/>
        <w:spacing w:line="312" w:lineRule="auto"/>
        <w:ind w:left="177" w:right="191"/>
      </w:pPr>
      <w:r>
        <w:rPr/>
        <w:t>Abrasion and/or corrosion mechanisms can be modelled by k=0 and h(z) = z. In that case  (B9) reduces to:</w:t>
      </w:r>
    </w:p>
    <w:p>
      <w:pPr>
        <w:pStyle w:val="BodyText"/>
        <w:spacing w:before="8"/>
        <w:rPr>
          <w:sz w:val="25"/>
        </w:rPr>
      </w:pPr>
    </w:p>
    <w:p>
      <w:pPr>
        <w:spacing w:line="354" w:lineRule="exact" w:before="0"/>
        <w:ind w:left="949" w:right="0" w:firstLine="0"/>
        <w:jc w:val="left"/>
        <w:rPr>
          <w:sz w:val="24"/>
        </w:rPr>
      </w:pPr>
      <w:r>
        <w:rPr/>
        <w:pict>
          <v:line style="position:absolute;mso-position-horizontal-relative:page;mso-position-vertical-relative:paragraph;z-index:-58528" from="108.839996pt,14.509943pt" to="121.139996pt,14.509943pt" stroked="true" strokeweight=".499pt" strokecolor="#000000">
            <v:stroke dashstyle="solid"/>
            <w10:wrap type="none"/>
          </v:line>
        </w:pict>
      </w:r>
      <w:r>
        <w:rPr>
          <w:position w:val="14"/>
          <w:sz w:val="22"/>
        </w:rPr>
        <w:t>dy </w:t>
      </w:r>
      <w:r>
        <w:rPr>
          <w:sz w:val="24"/>
        </w:rPr>
        <w:t>= z(t)</w:t>
      </w:r>
    </w:p>
    <w:p>
      <w:pPr>
        <w:spacing w:line="210" w:lineRule="exact" w:before="0"/>
        <w:ind w:left="970" w:right="0" w:firstLine="0"/>
        <w:jc w:val="left"/>
        <w:rPr>
          <w:sz w:val="22"/>
        </w:rPr>
      </w:pPr>
      <w:r>
        <w:rPr>
          <w:sz w:val="22"/>
        </w:rPr>
        <w:t>dt</w:t>
      </w:r>
    </w:p>
    <w:p>
      <w:pPr>
        <w:pStyle w:val="BodyText"/>
        <w:rPr>
          <w:sz w:val="20"/>
        </w:rPr>
      </w:pPr>
    </w:p>
    <w:p>
      <w:pPr>
        <w:pStyle w:val="BodyText"/>
        <w:spacing w:line="312" w:lineRule="auto" w:before="212"/>
        <w:ind w:left="177" w:right="109"/>
        <w:jc w:val="both"/>
      </w:pPr>
      <w:r>
        <w:rPr/>
        <w:t>For abrasion or corrosion the damage parameter y corresponds to the thickness of the lost material and z represents is the abrasion or corrosion rate. In this case </w:t>
      </w:r>
      <w:r>
        <w:rPr>
          <w:rFonts w:ascii="Arial" w:hAnsi="Arial"/>
        </w:rPr>
        <w:t>Ψ </w:t>
      </w:r>
      <w:r>
        <w:rPr/>
        <w:t>is simple equal to y itself. Assuming that z(t) is a stationary and ergodic random process with mean </w:t>
      </w:r>
      <w:r>
        <w:rPr>
          <w:rFonts w:ascii="Arial" w:hAnsi="Arial"/>
        </w:rPr>
        <w:t>μ</w:t>
      </w:r>
      <w:r>
        <w:rPr>
          <w:vertAlign w:val="subscript"/>
        </w:rPr>
        <w:t>z</w:t>
      </w:r>
      <w:r>
        <w:rPr>
          <w:vertAlign w:val="baseline"/>
        </w:rPr>
        <w:t>, we may use (B12) and arrive at:</w:t>
      </w:r>
    </w:p>
    <w:p>
      <w:pPr>
        <w:pStyle w:val="BodyText"/>
        <w:spacing w:before="5"/>
        <w:rPr>
          <w:sz w:val="31"/>
        </w:rPr>
      </w:pPr>
    </w:p>
    <w:p>
      <w:pPr>
        <w:pStyle w:val="BodyText"/>
        <w:spacing w:before="1"/>
        <w:ind w:left="886"/>
      </w:pPr>
      <w:r>
        <w:rPr/>
        <w:t>g(t) = y</w:t>
      </w:r>
      <w:r>
        <w:rPr>
          <w:vertAlign w:val="subscript"/>
        </w:rPr>
        <w:t>cr</w:t>
      </w:r>
      <w:r>
        <w:rPr>
          <w:vertAlign w:val="baseline"/>
        </w:rPr>
        <w:t> – y</w:t>
      </w:r>
      <w:r>
        <w:rPr>
          <w:vertAlign w:val="subscript"/>
        </w:rPr>
        <w:t>o</w:t>
      </w:r>
      <w:r>
        <w:rPr>
          <w:vertAlign w:val="baseline"/>
        </w:rPr>
        <w:t> – </w:t>
      </w:r>
      <w:r>
        <w:rPr>
          <w:rFonts w:ascii="Arial" w:hAnsi="Arial"/>
          <w:vertAlign w:val="baseline"/>
        </w:rPr>
        <w:t>μ</w:t>
      </w:r>
      <w:r>
        <w:rPr>
          <w:vertAlign w:val="subscript"/>
        </w:rPr>
        <w:t>z</w:t>
      </w:r>
      <w:r>
        <w:rPr>
          <w:vertAlign w:val="baseline"/>
        </w:rPr>
        <w:t> t</w:t>
      </w:r>
    </w:p>
    <w:p>
      <w:pPr>
        <w:pStyle w:val="BodyText"/>
        <w:spacing w:before="6"/>
        <w:rPr>
          <w:sz w:val="38"/>
        </w:rPr>
      </w:pPr>
    </w:p>
    <w:p>
      <w:pPr>
        <w:pStyle w:val="BodyText"/>
        <w:spacing w:line="312" w:lineRule="auto" w:before="1"/>
        <w:ind w:left="177" w:right="112"/>
        <w:jc w:val="both"/>
      </w:pPr>
      <w:r>
        <w:rPr/>
        <w:t>The value y</w:t>
      </w:r>
      <w:r>
        <w:rPr>
          <w:vertAlign w:val="subscript"/>
        </w:rPr>
        <w:t>o</w:t>
      </w:r>
      <w:r>
        <w:rPr>
          <w:vertAlign w:val="baseline"/>
        </w:rPr>
        <w:t> may be 0 (or random) and the critical value of y</w:t>
      </w:r>
      <w:r>
        <w:rPr>
          <w:vertAlign w:val="subscript"/>
        </w:rPr>
        <w:t>cr</w:t>
      </w:r>
      <w:r>
        <w:rPr>
          <w:vertAlign w:val="baseline"/>
        </w:rPr>
        <w:t> may be related to the load and material strength, for instance:</w:t>
      </w:r>
    </w:p>
    <w:p>
      <w:pPr>
        <w:spacing w:after="0" w:line="312" w:lineRule="auto"/>
        <w:jc w:val="both"/>
        <w:sectPr>
          <w:pgSz w:w="11910" w:h="16840"/>
          <w:pgMar w:header="0" w:footer="788" w:top="1420" w:bottom="980" w:left="1240" w:right="1300"/>
        </w:sectPr>
      </w:pPr>
    </w:p>
    <w:p>
      <w:pPr>
        <w:pStyle w:val="BodyText"/>
        <w:spacing w:before="62"/>
        <w:ind w:left="886"/>
      </w:pPr>
      <w:r>
        <w:rPr/>
        <w:t>y</w:t>
      </w:r>
      <w:r>
        <w:rPr>
          <w:vertAlign w:val="subscript"/>
        </w:rPr>
        <w:t>cr</w:t>
      </w:r>
      <w:r>
        <w:rPr>
          <w:vertAlign w:val="baseline"/>
        </w:rPr>
        <w:t> = d</w:t>
      </w:r>
      <w:r>
        <w:rPr>
          <w:vertAlign w:val="subscript"/>
        </w:rPr>
        <w:t>o</w:t>
      </w:r>
      <w:r>
        <w:rPr>
          <w:vertAlign w:val="baseline"/>
        </w:rPr>
        <w:t> – S/f</w:t>
      </w:r>
    </w:p>
    <w:p>
      <w:pPr>
        <w:pStyle w:val="BodyText"/>
        <w:spacing w:before="6"/>
        <w:rPr>
          <w:sz w:val="38"/>
        </w:rPr>
      </w:pPr>
    </w:p>
    <w:p>
      <w:pPr>
        <w:pStyle w:val="BodyText"/>
        <w:spacing w:line="312" w:lineRule="auto" w:before="1"/>
        <w:ind w:left="177" w:right="110"/>
        <w:jc w:val="both"/>
      </w:pPr>
      <w:r>
        <w:rPr/>
        <w:t>where d</w:t>
      </w:r>
      <w:r>
        <w:rPr>
          <w:vertAlign w:val="subscript"/>
        </w:rPr>
        <w:t>o</w:t>
      </w:r>
      <w:r>
        <w:rPr>
          <w:vertAlign w:val="baseline"/>
        </w:rPr>
        <w:t> is the original material thickness, S the load per unit length and f the material  rupture strenght. It can easily be seen that y</w:t>
      </w:r>
      <w:r>
        <w:rPr>
          <w:vertAlign w:val="subscript"/>
        </w:rPr>
        <w:t>cr</w:t>
      </w:r>
      <w:r>
        <w:rPr>
          <w:vertAlign w:val="baseline"/>
        </w:rPr>
        <w:t> is constant in time for a constant load S and that y</w:t>
      </w:r>
      <w:r>
        <w:rPr>
          <w:vertAlign w:val="subscript"/>
        </w:rPr>
        <w:t>cr</w:t>
      </w:r>
      <w:r>
        <w:rPr>
          <w:vertAlign w:val="baseline"/>
        </w:rPr>
        <w:t> is time dependent for a fluctuating</w:t>
      </w:r>
      <w:r>
        <w:rPr>
          <w:spacing w:val="-35"/>
          <w:vertAlign w:val="baseline"/>
        </w:rPr>
        <w:t> </w:t>
      </w:r>
      <w:r>
        <w:rPr>
          <w:vertAlign w:val="baseline"/>
        </w:rPr>
        <w:t>load.</w:t>
      </w:r>
    </w:p>
    <w:p>
      <w:pPr>
        <w:pStyle w:val="BodyText"/>
        <w:spacing w:before="8"/>
        <w:rPr>
          <w:sz w:val="31"/>
        </w:rPr>
      </w:pPr>
    </w:p>
    <w:p>
      <w:pPr>
        <w:pStyle w:val="ListParagraph"/>
        <w:numPr>
          <w:ilvl w:val="2"/>
          <w:numId w:val="16"/>
        </w:numPr>
        <w:tabs>
          <w:tab w:pos="597" w:val="left" w:leader="none"/>
          <w:tab w:pos="598" w:val="left" w:leader="none"/>
        </w:tabs>
        <w:spacing w:line="240" w:lineRule="auto" w:before="0" w:after="0"/>
        <w:ind w:left="597" w:right="0" w:hanging="420"/>
        <w:jc w:val="left"/>
        <w:rPr>
          <w:i/>
          <w:sz w:val="24"/>
        </w:rPr>
      </w:pPr>
      <w:r>
        <w:rPr>
          <w:i/>
          <w:sz w:val="24"/>
        </w:rPr>
        <w:t>Duration of</w:t>
      </w:r>
      <w:r>
        <w:rPr>
          <w:i/>
          <w:spacing w:val="-2"/>
          <w:sz w:val="24"/>
        </w:rPr>
        <w:t> </w:t>
      </w:r>
      <w:r>
        <w:rPr>
          <w:i/>
          <w:sz w:val="24"/>
        </w:rPr>
        <w:t>load</w:t>
      </w:r>
    </w:p>
    <w:p>
      <w:pPr>
        <w:pStyle w:val="BodyText"/>
        <w:spacing w:before="6"/>
        <w:rPr>
          <w:i/>
          <w:sz w:val="38"/>
        </w:rPr>
      </w:pPr>
    </w:p>
    <w:p>
      <w:pPr>
        <w:pStyle w:val="BodyText"/>
        <w:spacing w:line="312" w:lineRule="auto"/>
        <w:ind w:left="177" w:right="111"/>
        <w:jc w:val="both"/>
      </w:pPr>
      <w:r>
        <w:rPr/>
        <w:t>We consider again the case n=0 and h(z) = z. Let now, however, y represent the relative reduction of the material strength R, that is R(t) = R</w:t>
      </w:r>
      <w:r>
        <w:rPr>
          <w:vertAlign w:val="subscript"/>
        </w:rPr>
        <w:t>o</w:t>
      </w:r>
      <w:r>
        <w:rPr>
          <w:vertAlign w:val="baseline"/>
        </w:rPr>
        <w:t>(1-y).Let further the disturbance z be proportional to the mechanical load S. In other words: the presence of a load will lead to a damage or strength reduction, and more if the load is higher. Such a model can be used to represent duration of load effects. If we define z = S/S</w:t>
      </w:r>
      <w:r>
        <w:rPr>
          <w:vertAlign w:val="subscript"/>
        </w:rPr>
        <w:t>o</w:t>
      </w:r>
      <w:r>
        <w:rPr>
          <w:vertAlign w:val="baseline"/>
        </w:rPr>
        <w:t>, with S</w:t>
      </w:r>
      <w:r>
        <w:rPr>
          <w:vertAlign w:val="subscript"/>
        </w:rPr>
        <w:t>o</w:t>
      </w:r>
      <w:r>
        <w:rPr>
          <w:vertAlign w:val="baseline"/>
        </w:rPr>
        <w:t> some random material parameter, we arrive at:</w:t>
      </w:r>
    </w:p>
    <w:p>
      <w:pPr>
        <w:pStyle w:val="BodyText"/>
        <w:spacing w:before="10"/>
        <w:rPr>
          <w:sz w:val="31"/>
        </w:rPr>
      </w:pPr>
    </w:p>
    <w:p>
      <w:pPr>
        <w:pStyle w:val="BodyText"/>
        <w:ind w:left="886"/>
      </w:pPr>
      <w:r>
        <w:rPr/>
        <w:t>g(t) = y</w:t>
      </w:r>
      <w:r>
        <w:rPr>
          <w:vertAlign w:val="subscript"/>
        </w:rPr>
        <w:t>cr</w:t>
      </w:r>
      <w:r>
        <w:rPr>
          <w:vertAlign w:val="baseline"/>
        </w:rPr>
        <w:t> – y</w:t>
      </w:r>
      <w:r>
        <w:rPr>
          <w:vertAlign w:val="subscript"/>
        </w:rPr>
        <w:t>o</w:t>
      </w:r>
      <w:r>
        <w:rPr>
          <w:vertAlign w:val="baseline"/>
        </w:rPr>
        <w:t> – </w:t>
      </w:r>
      <w:r>
        <w:rPr>
          <w:rFonts w:ascii="Arial" w:hAnsi="Arial"/>
          <w:vertAlign w:val="baseline"/>
        </w:rPr>
        <w:t>μ</w:t>
      </w:r>
      <w:r>
        <w:rPr>
          <w:vertAlign w:val="subscript"/>
        </w:rPr>
        <w:t>S</w:t>
      </w:r>
      <w:r>
        <w:rPr>
          <w:vertAlign w:val="baseline"/>
        </w:rPr>
        <w:t> t / S</w:t>
      </w:r>
      <w:r>
        <w:rPr>
          <w:vertAlign w:val="subscript"/>
        </w:rPr>
        <w:t>o</w:t>
      </w:r>
    </w:p>
    <w:p>
      <w:pPr>
        <w:pStyle w:val="BodyText"/>
        <w:spacing w:before="7"/>
        <w:rPr>
          <w:sz w:val="38"/>
        </w:rPr>
      </w:pPr>
    </w:p>
    <w:p>
      <w:pPr>
        <w:pStyle w:val="BodyText"/>
        <w:spacing w:line="626" w:lineRule="auto"/>
        <w:ind w:left="886" w:right="1311" w:hanging="710"/>
      </w:pPr>
      <w:r>
        <w:rPr/>
        <w:t>Let y</w:t>
      </w:r>
      <w:r>
        <w:rPr>
          <w:vertAlign w:val="subscript"/>
        </w:rPr>
        <w:t>o</w:t>
      </w:r>
      <w:r>
        <w:rPr>
          <w:vertAlign w:val="baseline"/>
        </w:rPr>
        <w:t> = 0 and let y</w:t>
      </w:r>
      <w:r>
        <w:rPr>
          <w:vertAlign w:val="subscript"/>
        </w:rPr>
        <w:t>cr</w:t>
      </w:r>
      <w:r>
        <w:rPr>
          <w:vertAlign w:val="baseline"/>
        </w:rPr>
        <w:t> correspond to R(t) = R</w:t>
      </w:r>
      <w:r>
        <w:rPr>
          <w:vertAlign w:val="subscript"/>
        </w:rPr>
        <w:t>o</w:t>
      </w:r>
      <w:r>
        <w:rPr>
          <w:vertAlign w:val="baseline"/>
        </w:rPr>
        <w:t>(1- y</w:t>
      </w:r>
      <w:r>
        <w:rPr>
          <w:vertAlign w:val="subscript"/>
        </w:rPr>
        <w:t>cr</w:t>
      </w:r>
      <w:r>
        <w:rPr>
          <w:vertAlign w:val="baseline"/>
        </w:rPr>
        <w:t>) = S(t), we arrive finally at: g(t) = (1- </w:t>
      </w:r>
      <w:r>
        <w:rPr>
          <w:rFonts w:ascii="Arial" w:hAnsi="Arial"/>
          <w:vertAlign w:val="baseline"/>
        </w:rPr>
        <w:t>μ</w:t>
      </w:r>
      <w:r>
        <w:rPr>
          <w:vertAlign w:val="subscript"/>
        </w:rPr>
        <w:t>S</w:t>
      </w:r>
      <w:r>
        <w:rPr>
          <w:vertAlign w:val="baseline"/>
        </w:rPr>
        <w:t> t / S</w:t>
      </w:r>
      <w:r>
        <w:rPr>
          <w:vertAlign w:val="subscript"/>
        </w:rPr>
        <w:t>o</w:t>
      </w:r>
      <w:r>
        <w:rPr>
          <w:vertAlign w:val="baseline"/>
        </w:rPr>
        <w:t> ) – S(t)/R</w:t>
      </w:r>
      <w:r>
        <w:rPr>
          <w:vertAlign w:val="subscript"/>
        </w:rPr>
        <w:t>o</w:t>
      </w:r>
    </w:p>
    <w:p>
      <w:pPr>
        <w:pStyle w:val="BodyText"/>
        <w:spacing w:line="274" w:lineRule="exact"/>
        <w:ind w:left="177"/>
      </w:pPr>
      <w:r>
        <w:rPr/>
        <w:t>or equivalently:</w:t>
      </w:r>
    </w:p>
    <w:p>
      <w:pPr>
        <w:pStyle w:val="BodyText"/>
        <w:spacing w:before="6"/>
        <w:rPr>
          <w:sz w:val="38"/>
        </w:rPr>
      </w:pPr>
    </w:p>
    <w:p>
      <w:pPr>
        <w:pStyle w:val="BodyText"/>
        <w:ind w:left="886"/>
      </w:pPr>
      <w:r>
        <w:rPr/>
        <w:t>g(t) = R</w:t>
      </w:r>
      <w:r>
        <w:rPr>
          <w:vertAlign w:val="subscript"/>
        </w:rPr>
        <w:t>o</w:t>
      </w:r>
      <w:r>
        <w:rPr>
          <w:vertAlign w:val="baseline"/>
        </w:rPr>
        <w:t>(1- </w:t>
      </w:r>
      <w:r>
        <w:rPr>
          <w:rFonts w:ascii="Arial" w:hAnsi="Arial"/>
          <w:vertAlign w:val="baseline"/>
        </w:rPr>
        <w:t>μ</w:t>
      </w:r>
      <w:r>
        <w:rPr>
          <w:vertAlign w:val="subscript"/>
        </w:rPr>
        <w:t>S</w:t>
      </w:r>
      <w:r>
        <w:rPr>
          <w:vertAlign w:val="baseline"/>
        </w:rPr>
        <w:t> t / S</w:t>
      </w:r>
      <w:r>
        <w:rPr>
          <w:vertAlign w:val="subscript"/>
        </w:rPr>
        <w:t>o</w:t>
      </w:r>
      <w:r>
        <w:rPr>
          <w:vertAlign w:val="baseline"/>
        </w:rPr>
        <w:t> ) – S(t)</w:t>
      </w:r>
    </w:p>
    <w:p>
      <w:pPr>
        <w:pStyle w:val="BodyText"/>
        <w:spacing w:before="7"/>
        <w:rPr>
          <w:sz w:val="38"/>
        </w:rPr>
      </w:pPr>
    </w:p>
    <w:p>
      <w:pPr>
        <w:pStyle w:val="BodyText"/>
        <w:spacing w:line="312" w:lineRule="auto"/>
        <w:ind w:left="177" w:right="111"/>
        <w:jc w:val="both"/>
      </w:pPr>
      <w:r>
        <w:rPr/>
        <w:t>Again, if S is a constant load we may use (B6); if not we have a first passage problem. The resulting time dependent strength for a constant load S is presented in figure B2.</w:t>
      </w:r>
    </w:p>
    <w:p>
      <w:pPr>
        <w:pStyle w:val="BodyText"/>
        <w:rPr>
          <w:sz w:val="17"/>
        </w:rPr>
      </w:pPr>
    </w:p>
    <w:p>
      <w:pPr>
        <w:spacing w:before="91"/>
        <w:ind w:left="978" w:right="0" w:firstLine="0"/>
        <w:jc w:val="left"/>
        <w:rPr>
          <w:sz w:val="20"/>
        </w:rPr>
      </w:pPr>
      <w:r>
        <w:rPr>
          <w:sz w:val="20"/>
        </w:rPr>
        <w:t>R,S</w:t>
      </w:r>
    </w:p>
    <w:p>
      <w:pPr>
        <w:pStyle w:val="BodyText"/>
        <w:spacing w:before="4"/>
      </w:pPr>
    </w:p>
    <w:p>
      <w:pPr>
        <w:spacing w:before="91"/>
        <w:ind w:left="587" w:right="0" w:firstLine="0"/>
        <w:jc w:val="left"/>
        <w:rPr>
          <w:sz w:val="16"/>
        </w:rPr>
      </w:pPr>
      <w:r>
        <w:rPr/>
        <w:pict>
          <v:group style="position:absolute;margin-left:114.18pt;margin-top:-10.833288pt;width:208.4pt;height:113.8pt;mso-position-horizontal-relative:page;mso-position-vertical-relative:paragraph;z-index:1504" coordorigin="2284,-217" coordsize="4168,2276">
            <v:line style="position:absolute" from="2329,203" to="3160,203" stroked="true" strokeweight=".96001pt" strokecolor="#000000">
              <v:stroke dashstyle="solid"/>
            </v:line>
            <v:shape style="position:absolute;left:2322;top:193;width:3928;height:1292" coordorigin="2322,194" coordsize="3928,1292" path="m6250,1463l6050,1447,5952,1435,5856,1420,5659,1394,5467,1360,5282,1324,5098,1283,4913,1240,4738,1195,4565,1147,4396,1094,4072,988,3918,933,3772,878,3493,767,3236,657,3008,554,2644,371,2413,242,2334,194,2329,201,2329,194,2322,213,2404,261,2634,388,2999,571,3227,676,3481,787,3762,897,3913,955,4067,1010,4560,1166,4908,1262,5093,1305,5465,1382,5657,1413,5854,1442,6048,1466,6247,1485,6250,1463e" filled="true" fillcolor="#000000" stroked="false">
              <v:path arrowok="t"/>
              <v:fill type="solid"/>
            </v:shape>
            <v:line style="position:absolute" from="2317,2025" to="6382,2025" stroked="true" strokeweight=".48001pt" strokecolor="#000000">
              <v:stroke dashstyle="solid"/>
            </v:line>
            <v:line style="position:absolute" from="2318,-147" to="2318,2025" stroked="true" strokeweight=".600010pt" strokecolor="#000000">
              <v:stroke dashstyle="solid"/>
            </v:line>
            <v:shape style="position:absolute;left:2283;top:-217;width:4168;height:2276" coordorigin="2284,-217" coordsize="4168,2276" path="m2317,2025l2312,2025,2312,2030,2317,2030,2317,2025m2322,2025l2317,2018,2317,2025,2322,2025m2353,-123l2344,-147,2317,-217,2284,-123,2317,-147,2353,-123m6451,2025l6355,1989,6382,2025,6355,2059,6451,2025e" filled="true" fillcolor="#000000" stroked="false">
              <v:path arrowok="t"/>
              <v:fill type="solid"/>
            </v:shape>
            <v:line style="position:absolute" from="4429,1034" to="4759,703" stroked="true" strokeweight=".24pt" strokecolor="#000000">
              <v:stroke dashstyle="solid"/>
            </v:line>
            <v:shape style="position:absolute;left:2317;top:1000;width:2146;height:1004" coordorigin="2317,1000" coordsize="2146,1004" path="m2399,1108l2317,1108,2317,1120,2399,1120,2399,1108m2560,1108l2480,1108,2480,1120,2560,1120,2560,1108m2720,1108l2639,1108,2639,1120,2720,1120,2720,1108m2879,1108l2800,1108,2800,1120,2879,1120,2879,1108m3040,1108l2960,1108,2960,1120,3040,1120,3040,1108m3200,1108l3119,1108,3119,1120,3200,1120,3200,1108m3359,1108l3280,1108,3280,1120,3359,1120,3359,1108m3520,1108l3440,1108,3440,1120,3520,1120,3520,1108m3680,1108l3599,1108,3599,1120,3680,1120,3680,1108m3841,1108l3760,1108,3760,1120,3841,1120,3841,1108m4000,1108l3920,1108,3920,1120,4000,1120,4000,1108m4160,1108l4081,1108,4081,1120,4160,1120,4160,1108m4321,1108l4240,1108,4240,1120,4321,1120,4321,1108m4397,1924l4385,1924,4385,2003,4397,2003,4397,1924m4397,1763l4385,1763,4385,1845,4397,1845,4397,1763m4397,1605l4385,1605,4385,1684,4397,1684,4397,1605m4397,1444l4385,1444,4385,1523,4397,1523,4397,1444m4397,1283l4385,1283,4385,1365,4397,1365,4397,1283m4397,1125l4385,1125,4385,1204,4397,1204,4397,1125m4463,1041l4429,1034,4422,1000,4391,1075,4463,1041e" filled="true" fillcolor="#000000" stroked="false">
              <v:path arrowok="t"/>
              <v:fill type="solid"/>
            </v:shape>
            <v:shape style="position:absolute;left:3687;top:537;width:430;height:245" type="#_x0000_t202" filled="false" stroked="false">
              <v:textbox inset="0,0,0,0">
                <w:txbxContent>
                  <w:p>
                    <w:pPr>
                      <w:spacing w:before="14"/>
                      <w:ind w:left="0" w:right="0" w:firstLine="0"/>
                      <w:jc w:val="left"/>
                      <w:rPr>
                        <w:sz w:val="20"/>
                      </w:rPr>
                    </w:pPr>
                    <w:r>
                      <w:rPr>
                        <w:sz w:val="20"/>
                      </w:rPr>
                      <w:t>R (</w:t>
                    </w:r>
                    <w:r>
                      <w:rPr>
                        <w:rFonts w:ascii="Arial" w:hAnsi="Arial"/>
                        <w:sz w:val="20"/>
                      </w:rPr>
                      <w:t>τ</w:t>
                    </w:r>
                    <w:r>
                      <w:rPr>
                        <w:sz w:val="20"/>
                      </w:rPr>
                      <w:t>)</w:t>
                    </w:r>
                  </w:p>
                </w:txbxContent>
              </v:textbox>
              <w10:wrap type="none"/>
            </v:shape>
            <v:shape style="position:absolute;left:4658;top:529;width:546;height:221" type="#_x0000_t202" filled="false" stroked="false">
              <v:textbox inset="0,0,0,0">
                <w:txbxContent>
                  <w:p>
                    <w:pPr>
                      <w:spacing w:line="221" w:lineRule="exact" w:before="0"/>
                      <w:ind w:left="0" w:right="0" w:firstLine="0"/>
                      <w:jc w:val="left"/>
                      <w:rPr>
                        <w:sz w:val="20"/>
                      </w:rPr>
                    </w:pPr>
                    <w:r>
                      <w:rPr>
                        <w:sz w:val="20"/>
                      </w:rPr>
                      <w:t>failure</w:t>
                    </w:r>
                  </w:p>
                </w:txbxContent>
              </v:textbox>
              <w10:wrap type="none"/>
            </v:shape>
            <w10:wrap type="none"/>
          </v:group>
        </w:pict>
      </w:r>
      <w:r>
        <w:rPr>
          <w:sz w:val="20"/>
        </w:rPr>
        <w:t>R</w:t>
      </w:r>
      <w:r>
        <w:rPr>
          <w:position w:val="-2"/>
          <w:sz w:val="16"/>
        </w:rPr>
        <w:t>0</w:t>
      </w:r>
    </w:p>
    <w:p>
      <w:pPr>
        <w:pStyle w:val="BodyText"/>
        <w:rPr>
          <w:sz w:val="20"/>
        </w:rPr>
      </w:pPr>
    </w:p>
    <w:p>
      <w:pPr>
        <w:pStyle w:val="BodyText"/>
        <w:rPr>
          <w:sz w:val="20"/>
        </w:rPr>
      </w:pPr>
    </w:p>
    <w:p>
      <w:pPr>
        <w:pStyle w:val="BodyText"/>
        <w:spacing w:before="3"/>
        <w:rPr>
          <w:sz w:val="18"/>
        </w:rPr>
      </w:pPr>
    </w:p>
    <w:p>
      <w:pPr>
        <w:spacing w:before="0"/>
        <w:ind w:left="594" w:right="0" w:firstLine="0"/>
        <w:jc w:val="left"/>
        <w:rPr>
          <w:sz w:val="20"/>
        </w:rPr>
      </w:pPr>
      <w:r>
        <w:rPr>
          <w:w w:val="99"/>
          <w:sz w:val="20"/>
        </w:rPr>
        <w:t>S</w:t>
      </w:r>
    </w:p>
    <w:p>
      <w:pPr>
        <w:pStyle w:val="BodyText"/>
        <w:rPr>
          <w:sz w:val="20"/>
        </w:rPr>
      </w:pPr>
    </w:p>
    <w:p>
      <w:pPr>
        <w:pStyle w:val="BodyText"/>
        <w:rPr>
          <w:sz w:val="20"/>
        </w:rPr>
      </w:pPr>
    </w:p>
    <w:p>
      <w:pPr>
        <w:pStyle w:val="BodyText"/>
        <w:rPr>
          <w:sz w:val="20"/>
        </w:rPr>
      </w:pPr>
    </w:p>
    <w:p>
      <w:pPr>
        <w:pStyle w:val="BodyText"/>
        <w:spacing w:before="1"/>
        <w:rPr>
          <w:sz w:val="19"/>
        </w:rPr>
      </w:pPr>
    </w:p>
    <w:p>
      <w:pPr>
        <w:spacing w:before="0"/>
        <w:ind w:left="875" w:right="89" w:firstLine="0"/>
        <w:jc w:val="center"/>
        <w:rPr>
          <w:sz w:val="20"/>
        </w:rPr>
      </w:pPr>
      <w:r>
        <w:rPr>
          <w:sz w:val="20"/>
        </w:rPr>
        <w:t>time to failure</w:t>
      </w:r>
    </w:p>
    <w:p>
      <w:pPr>
        <w:spacing w:after="0"/>
        <w:jc w:val="center"/>
        <w:rPr>
          <w:sz w:val="20"/>
        </w:rPr>
        <w:sectPr>
          <w:pgSz w:w="11910" w:h="16840"/>
          <w:pgMar w:header="0" w:footer="788" w:top="1460" w:bottom="980" w:left="1240" w:right="1300"/>
        </w:sectPr>
      </w:pPr>
    </w:p>
    <w:p>
      <w:pPr>
        <w:pStyle w:val="BodyText"/>
        <w:spacing w:before="61"/>
        <w:ind w:left="177"/>
      </w:pPr>
      <w:r>
        <w:rPr/>
        <w:t>Figure B2: Load duration dependent strength under constant load</w:t>
      </w:r>
    </w:p>
    <w:p>
      <w:pPr>
        <w:pStyle w:val="BodyText"/>
        <w:rPr>
          <w:sz w:val="26"/>
        </w:rPr>
      </w:pPr>
    </w:p>
    <w:p>
      <w:pPr>
        <w:pStyle w:val="ListParagraph"/>
        <w:numPr>
          <w:ilvl w:val="2"/>
          <w:numId w:val="16"/>
        </w:numPr>
        <w:tabs>
          <w:tab w:pos="418" w:val="left" w:leader="none"/>
        </w:tabs>
        <w:spacing w:line="240" w:lineRule="auto" w:before="206" w:after="0"/>
        <w:ind w:left="417" w:right="0" w:hanging="240"/>
        <w:jc w:val="left"/>
        <w:rPr>
          <w:i/>
          <w:sz w:val="24"/>
        </w:rPr>
      </w:pPr>
      <w:r>
        <w:rPr>
          <w:i/>
          <w:sz w:val="24"/>
        </w:rPr>
        <w:t>Fatigue Crack Propagation</w:t>
      </w:r>
    </w:p>
    <w:p>
      <w:pPr>
        <w:pStyle w:val="BodyText"/>
        <w:spacing w:before="6"/>
        <w:rPr>
          <w:i/>
          <w:sz w:val="31"/>
        </w:rPr>
      </w:pPr>
    </w:p>
    <w:p>
      <w:pPr>
        <w:pStyle w:val="BodyText"/>
        <w:spacing w:line="364" w:lineRule="auto"/>
        <w:ind w:left="177" w:right="112"/>
        <w:jc w:val="both"/>
      </w:pPr>
      <w:r>
        <w:rPr/>
        <w:t>Due to load fluctuations some initial small crack in a structure may grow and weaken the cross section. Finally some large load amplitude may lead to collapse of the structural element (see figure B3). The differential equation for the crack growth a is given by:</w:t>
      </w:r>
    </w:p>
    <w:p>
      <w:pPr>
        <w:pStyle w:val="BodyText"/>
        <w:spacing w:before="11"/>
      </w:pPr>
    </w:p>
    <w:p>
      <w:pPr>
        <w:pStyle w:val="BodyText"/>
        <w:tabs>
          <w:tab w:pos="3451" w:val="left" w:leader="none"/>
        </w:tabs>
        <w:spacing w:line="354" w:lineRule="exact" w:before="88"/>
        <w:ind w:left="954"/>
      </w:pPr>
      <w:r>
        <w:rPr/>
        <w:pict>
          <v:line style="position:absolute;mso-position-horizontal-relative:page;mso-position-vertical-relative:paragraph;z-index:-58384" from="108.839996pt,18.909857pt" to="121.499996pt,18.909857pt" stroked="true" strokeweight=".497pt" strokecolor="#000000">
            <v:stroke dashstyle="solid"/>
            <w10:wrap type="none"/>
          </v:line>
        </w:pict>
      </w:r>
      <w:r>
        <w:rPr/>
        <w:pict>
          <v:group style="position:absolute;margin-left:212.630493pt;margin-top:10.623544pt;width:19.350pt;height:13.5pt;mso-position-horizontal-relative:page;mso-position-vertical-relative:paragraph;z-index:-58336" coordorigin="4253,212" coordsize="387,270">
            <v:line style="position:absolute" from="4258,383" to="4284,367" stroked="true" strokeweight=".499pt" strokecolor="#000000">
              <v:stroke dashstyle="solid"/>
            </v:line>
            <v:line style="position:absolute" from="4284,372" to="4325,447" stroked="true" strokeweight=".998pt" strokecolor="#000000">
              <v:stroke dashstyle="solid"/>
            </v:line>
            <v:shape style="position:absolute;left:4329;top:220;width:305;height:226" coordorigin="4330,221" coordsize="305,226" path="m4330,447l4384,221,4634,221e" filled="false" stroked="true" strokeweight=".499pt" strokecolor="#000000">
              <v:path arrowok="t"/>
              <v:stroke dashstyle="solid"/>
            </v:shape>
            <v:shape style="position:absolute;left:4252;top:212;width:387;height:270" type="#_x0000_t202" filled="false" stroked="false">
              <v:textbox inset="0,0,0,0">
                <w:txbxContent>
                  <w:p>
                    <w:pPr>
                      <w:spacing w:before="14"/>
                      <w:ind w:left="145" w:right="0" w:firstLine="0"/>
                      <w:jc w:val="left"/>
                      <w:rPr>
                        <w:sz w:val="22"/>
                      </w:rPr>
                    </w:pPr>
                    <w:r>
                      <w:rPr>
                        <w:rFonts w:ascii="Arial" w:hAnsi="Arial"/>
                        <w:w w:val="90"/>
                        <w:sz w:val="22"/>
                      </w:rPr>
                      <w:t>π</w:t>
                    </w:r>
                    <w:r>
                      <w:rPr>
                        <w:w w:val="90"/>
                        <w:sz w:val="22"/>
                      </w:rPr>
                      <w:t>a</w:t>
                    </w:r>
                  </w:p>
                </w:txbxContent>
              </v:textbox>
              <w10:wrap type="none"/>
            </v:shape>
            <w10:wrap type="none"/>
          </v:group>
        </w:pict>
      </w:r>
      <w:r>
        <w:rPr>
          <w:position w:val="14"/>
          <w:sz w:val="22"/>
        </w:rPr>
        <w:t>da  </w:t>
      </w:r>
      <w:r>
        <w:rPr/>
        <w:t>= C Y(a) [</w:t>
      </w:r>
      <w:r>
        <w:rPr>
          <w:spacing w:val="-2"/>
        </w:rPr>
        <w:t> </w:t>
      </w:r>
      <w:r>
        <w:rPr>
          <w:rFonts w:ascii="Arial" w:hAnsi="Arial"/>
        </w:rPr>
        <w:t>Δ</w:t>
      </w:r>
      <w:r>
        <w:rPr/>
        <w:t>S(n)</w:t>
        <w:tab/>
        <w:t>]</w:t>
      </w:r>
      <w:r>
        <w:rPr>
          <w:vertAlign w:val="superscript"/>
        </w:rPr>
        <w:t>m</w:t>
      </w:r>
    </w:p>
    <w:p>
      <w:pPr>
        <w:spacing w:line="210" w:lineRule="exact" w:before="0"/>
        <w:ind w:left="950" w:right="0" w:firstLine="0"/>
        <w:jc w:val="left"/>
        <w:rPr>
          <w:sz w:val="22"/>
        </w:rPr>
      </w:pPr>
      <w:r>
        <w:rPr>
          <w:sz w:val="22"/>
        </w:rPr>
        <w:t>dn</w:t>
      </w:r>
    </w:p>
    <w:p>
      <w:pPr>
        <w:pStyle w:val="BodyText"/>
        <w:spacing w:before="7"/>
        <w:rPr>
          <w:sz w:val="22"/>
        </w:rPr>
      </w:pPr>
    </w:p>
    <w:p>
      <w:pPr>
        <w:pStyle w:val="BodyText"/>
        <w:spacing w:line="372" w:lineRule="auto" w:before="117"/>
        <w:ind w:left="177" w:right="111"/>
        <w:jc w:val="both"/>
      </w:pPr>
      <w:r>
        <w:rPr/>
        <w:t>Where </w:t>
      </w:r>
      <w:r>
        <w:rPr>
          <w:rFonts w:ascii="Arial" w:hAnsi="Arial"/>
        </w:rPr>
        <w:t>Δ</w:t>
      </w:r>
      <w:r>
        <w:rPr/>
        <w:t>S represents the stress range, Y(a) represents a geometrical function, C and m are material constants and n is the stress cycle number. Note that in this example the time t has been replaced by the load cycle number n and that k in (B5) corresponds to m/2. The functions </w:t>
      </w:r>
      <w:r>
        <w:rPr>
          <w:rFonts w:ascii="Arial" w:hAnsi="Arial"/>
        </w:rPr>
        <w:t>Ψ </w:t>
      </w:r>
      <w:r>
        <w:rPr/>
        <w:t>and </w:t>
      </w:r>
      <w:r>
        <w:rPr>
          <w:rFonts w:ascii="Arial" w:hAnsi="Arial"/>
        </w:rPr>
        <w:t>χ </w:t>
      </w:r>
      <w:r>
        <w:rPr/>
        <w:t>are then given by (assuming </w:t>
      </w:r>
      <w:r>
        <w:rPr>
          <w:rFonts w:ascii="Arial" w:hAnsi="Arial"/>
        </w:rPr>
        <w:t>Δ</w:t>
      </w:r>
      <w:r>
        <w:rPr/>
        <w:t>S to be stationary and</w:t>
      </w:r>
      <w:r>
        <w:rPr>
          <w:spacing w:val="-24"/>
        </w:rPr>
        <w:t> </w:t>
      </w:r>
      <w:r>
        <w:rPr/>
        <w:t>ergodic):</w:t>
      </w:r>
    </w:p>
    <w:p>
      <w:pPr>
        <w:pStyle w:val="BodyText"/>
        <w:spacing w:before="6"/>
        <w:rPr>
          <w:sz w:val="23"/>
        </w:rPr>
      </w:pPr>
    </w:p>
    <w:p>
      <w:pPr>
        <w:spacing w:after="0"/>
        <w:rPr>
          <w:sz w:val="23"/>
        </w:rPr>
        <w:sectPr>
          <w:pgSz w:w="11910" w:h="16840"/>
          <w:pgMar w:header="0" w:footer="788" w:top="1380" w:bottom="980" w:left="1240" w:right="1300"/>
        </w:sectPr>
      </w:pPr>
    </w:p>
    <w:p>
      <w:pPr>
        <w:pStyle w:val="BodyText"/>
        <w:tabs>
          <w:tab w:pos="1584" w:val="left" w:leader="none"/>
        </w:tabs>
        <w:spacing w:line="320" w:lineRule="exact" w:before="92"/>
        <w:ind w:left="886"/>
      </w:pPr>
      <w:r>
        <w:rPr>
          <w:rFonts w:ascii="Arial" w:hAnsi="Arial"/>
        </w:rPr>
        <w:t>Ψ</w:t>
      </w:r>
      <w:r>
        <w:rPr>
          <w:rFonts w:ascii="Arial" w:hAnsi="Arial"/>
          <w:spacing w:val="-10"/>
        </w:rPr>
        <w:t> </w:t>
      </w:r>
      <w:r>
        <w:rPr/>
        <w:t>=</w:t>
        <w:tab/>
      </w:r>
      <w:r>
        <w:rPr>
          <w:position w:val="15"/>
        </w:rPr>
        <w:t>2</w:t>
      </w:r>
    </w:p>
    <w:p>
      <w:pPr>
        <w:tabs>
          <w:tab w:pos="688" w:val="left" w:leader="none"/>
        </w:tabs>
        <w:spacing w:line="320" w:lineRule="exact" w:before="91"/>
        <w:ind w:left="342" w:right="0" w:firstLine="0"/>
        <w:jc w:val="left"/>
        <w:rPr>
          <w:sz w:val="16"/>
        </w:rPr>
      </w:pPr>
      <w:r>
        <w:rPr/>
        <w:br w:type="column"/>
      </w:r>
      <w:r>
        <w:rPr>
          <w:position w:val="4"/>
          <w:sz w:val="24"/>
        </w:rPr>
        <w:t>1</w:t>
        <w:tab/>
      </w:r>
      <w:r>
        <w:rPr>
          <w:position w:val="-10"/>
          <w:sz w:val="24"/>
        </w:rPr>
        <w:t>π</w:t>
      </w:r>
      <w:r>
        <w:rPr>
          <w:sz w:val="16"/>
        </w:rPr>
        <w:t>--m/2 </w:t>
      </w:r>
      <w:r>
        <w:rPr>
          <w:position w:val="-10"/>
          <w:sz w:val="24"/>
        </w:rPr>
        <w:t>p</w:t>
      </w:r>
      <w:r>
        <w:rPr>
          <w:sz w:val="16"/>
        </w:rPr>
        <w:t>-m/2 </w:t>
      </w:r>
      <w:r>
        <w:rPr>
          <w:position w:val="-10"/>
          <w:sz w:val="24"/>
        </w:rPr>
        <w:t>a</w:t>
      </w:r>
      <w:r>
        <w:rPr>
          <w:spacing w:val="-36"/>
          <w:position w:val="-10"/>
          <w:sz w:val="24"/>
        </w:rPr>
        <w:t> </w:t>
      </w:r>
      <w:r>
        <w:rPr>
          <w:sz w:val="16"/>
        </w:rPr>
        <w:t>1-m/2</w:t>
      </w:r>
    </w:p>
    <w:p>
      <w:pPr>
        <w:spacing w:after="0" w:line="320" w:lineRule="exact"/>
        <w:jc w:val="left"/>
        <w:rPr>
          <w:sz w:val="16"/>
        </w:rPr>
        <w:sectPr>
          <w:type w:val="continuous"/>
          <w:pgSz w:w="11910" w:h="16840"/>
          <w:pgMar w:top="580" w:bottom="280" w:left="1240" w:right="1300"/>
          <w:cols w:num="2" w:equalWidth="0">
            <w:col w:w="1705" w:space="40"/>
            <w:col w:w="7625"/>
          </w:cols>
        </w:sectPr>
      </w:pPr>
    </w:p>
    <w:p>
      <w:pPr>
        <w:pStyle w:val="BodyText"/>
        <w:spacing w:line="20" w:lineRule="exact"/>
        <w:ind w:left="1367"/>
        <w:rPr>
          <w:sz w:val="2"/>
        </w:rPr>
      </w:pPr>
      <w:r>
        <w:rPr>
          <w:sz w:val="2"/>
        </w:rPr>
        <w:pict>
          <v:group style="width:47.4pt;height:.5pt;mso-position-horizontal-relative:char;mso-position-vertical-relative:line" coordorigin="0,0" coordsize="948,10">
            <v:line style="position:absolute" from="0,5" to="535,5" stroked="true" strokeweight=".499pt" strokecolor="#000000">
              <v:stroke dashstyle="solid"/>
            </v:line>
            <v:line style="position:absolute" from="605,5" to="948,5" stroked="true" strokeweight=".499pt" strokecolor="#000000">
              <v:stroke dashstyle="solid"/>
            </v:line>
          </v:group>
        </w:pict>
      </w:r>
      <w:r>
        <w:rPr>
          <w:sz w:val="2"/>
        </w:rPr>
      </w:r>
    </w:p>
    <w:p>
      <w:pPr>
        <w:spacing w:before="0"/>
        <w:ind w:left="1389" w:right="0" w:firstLine="0"/>
        <w:jc w:val="left"/>
        <w:rPr>
          <w:i/>
          <w:sz w:val="24"/>
        </w:rPr>
      </w:pPr>
      <w:r>
        <w:rPr>
          <w:sz w:val="24"/>
        </w:rPr>
        <w:t>2 </w:t>
      </w:r>
      <w:r>
        <w:rPr>
          <w:rFonts w:ascii="Arial" w:hAnsi="Arial"/>
          <w:sz w:val="24"/>
        </w:rPr>
        <w:t>− </w:t>
      </w:r>
      <w:r>
        <w:rPr>
          <w:i/>
          <w:sz w:val="24"/>
        </w:rPr>
        <w:t>m CY</w:t>
      </w:r>
    </w:p>
    <w:p>
      <w:pPr>
        <w:pStyle w:val="BodyText"/>
        <w:spacing w:before="3"/>
        <w:rPr>
          <w:i/>
          <w:sz w:val="27"/>
        </w:rPr>
      </w:pPr>
    </w:p>
    <w:p>
      <w:pPr>
        <w:pStyle w:val="BodyText"/>
        <w:spacing w:before="128"/>
        <w:ind w:left="897"/>
      </w:pPr>
      <w:r>
        <w:rPr>
          <w:rFonts w:ascii="Arial" w:hAnsi="Arial"/>
        </w:rPr>
        <w:t>χ </w:t>
      </w:r>
      <w:r>
        <w:rPr/>
        <w:t>= n E{(</w:t>
      </w:r>
      <w:r>
        <w:rPr>
          <w:rFonts w:ascii="Arial" w:hAnsi="Arial"/>
        </w:rPr>
        <w:t>Δ</w:t>
      </w:r>
      <w:r>
        <w:rPr/>
        <w:t>S)</w:t>
      </w:r>
      <w:r>
        <w:rPr>
          <w:vertAlign w:val="superscript"/>
        </w:rPr>
        <w:t>m</w:t>
      </w:r>
      <w:r>
        <w:rPr>
          <w:vertAlign w:val="baseline"/>
        </w:rPr>
        <w:t>}</w:t>
      </w:r>
    </w:p>
    <w:p>
      <w:pPr>
        <w:pStyle w:val="BodyText"/>
        <w:spacing w:before="7"/>
        <w:rPr>
          <w:sz w:val="38"/>
        </w:rPr>
      </w:pPr>
    </w:p>
    <w:p>
      <w:pPr>
        <w:pStyle w:val="BodyText"/>
        <w:spacing w:line="626" w:lineRule="auto"/>
        <w:ind w:left="886" w:right="5354" w:hanging="710"/>
        <w:rPr>
          <w:rFonts w:ascii="Arial" w:hAnsi="Arial"/>
        </w:rPr>
      </w:pPr>
      <w:r>
        <w:rPr/>
        <w:t>And the limit state function is given by: g(t) = </w:t>
      </w:r>
      <w:r>
        <w:rPr>
          <w:rFonts w:ascii="Arial" w:hAnsi="Arial"/>
        </w:rPr>
        <w:t>Ψ</w:t>
      </w:r>
      <w:r>
        <w:rPr/>
        <w:t>(a</w:t>
      </w:r>
      <w:r>
        <w:rPr>
          <w:vertAlign w:val="subscript"/>
        </w:rPr>
        <w:t>cr</w:t>
      </w:r>
      <w:r>
        <w:rPr>
          <w:vertAlign w:val="baseline"/>
        </w:rPr>
        <w:t>) -</w:t>
      </w:r>
      <w:r>
        <w:rPr>
          <w:spacing w:val="52"/>
          <w:vertAlign w:val="baseline"/>
        </w:rPr>
        <w:t> </w:t>
      </w:r>
      <w:r>
        <w:rPr>
          <w:rFonts w:ascii="Arial" w:hAnsi="Arial"/>
          <w:vertAlign w:val="baseline"/>
        </w:rPr>
        <w:t>Ψ</w:t>
      </w:r>
      <w:r>
        <w:rPr>
          <w:vertAlign w:val="baseline"/>
        </w:rPr>
        <w:t>(a</w:t>
      </w:r>
      <w:r>
        <w:rPr>
          <w:vertAlign w:val="subscript"/>
        </w:rPr>
        <w:t>0</w:t>
      </w:r>
      <w:r>
        <w:rPr>
          <w:vertAlign w:val="baseline"/>
        </w:rPr>
        <w:t>)-</w:t>
      </w:r>
      <w:r>
        <w:rPr>
          <w:rFonts w:ascii="Arial" w:hAnsi="Arial"/>
          <w:vertAlign w:val="baseline"/>
        </w:rPr>
        <w:t>χ</w:t>
      </w:r>
    </w:p>
    <w:p>
      <w:pPr>
        <w:pStyle w:val="BodyText"/>
        <w:spacing w:line="312" w:lineRule="auto"/>
        <w:ind w:left="177" w:right="111" w:hanging="1"/>
        <w:jc w:val="both"/>
      </w:pPr>
      <w:r>
        <w:rPr/>
        <w:t>where a</w:t>
      </w:r>
      <w:r>
        <w:rPr>
          <w:vertAlign w:val="subscript"/>
        </w:rPr>
        <w:t>0</w:t>
      </w:r>
      <w:r>
        <w:rPr>
          <w:vertAlign w:val="baseline"/>
        </w:rPr>
        <w:t> is the initial crack length and a</w:t>
      </w:r>
      <w:r>
        <w:rPr>
          <w:vertAlign w:val="subscript"/>
        </w:rPr>
        <w:t>cr</w:t>
      </w:r>
      <w:r>
        <w:rPr>
          <w:vertAlign w:val="baseline"/>
        </w:rPr>
        <w:t> the critical crack length, which again may be time dependent or time independent. In the fist case (B6) may be used, in the second case we have a first passage</w:t>
      </w:r>
      <w:r>
        <w:rPr>
          <w:spacing w:val="-1"/>
          <w:vertAlign w:val="baseline"/>
        </w:rPr>
        <w:t> </w:t>
      </w:r>
      <w:r>
        <w:rPr>
          <w:vertAlign w:val="baseline"/>
        </w:rPr>
        <w:t>problem.</w:t>
      </w:r>
    </w:p>
    <w:p>
      <w:pPr>
        <w:pStyle w:val="BodyText"/>
        <w:spacing w:before="5"/>
        <w:rPr>
          <w:sz w:val="31"/>
        </w:rPr>
      </w:pPr>
    </w:p>
    <w:p>
      <w:pPr>
        <w:pStyle w:val="BodyText"/>
        <w:spacing w:before="1"/>
        <w:ind w:left="177"/>
        <w:jc w:val="both"/>
      </w:pPr>
      <w:r>
        <w:rPr/>
        <w:t>Alternatively, one may formulate the limit state function in the crack domain:</w:t>
      </w:r>
    </w:p>
    <w:p>
      <w:pPr>
        <w:pStyle w:val="BodyText"/>
        <w:rPr>
          <w:sz w:val="25"/>
        </w:rPr>
      </w:pPr>
    </w:p>
    <w:p>
      <w:pPr>
        <w:tabs>
          <w:tab w:pos="3013" w:val="left" w:leader="none"/>
          <w:tab w:pos="5445" w:val="left" w:leader="none"/>
          <w:tab w:pos="5799" w:val="left" w:leader="none"/>
        </w:tabs>
        <w:spacing w:line="174" w:lineRule="exact" w:before="101"/>
        <w:ind w:left="886" w:right="0" w:firstLine="0"/>
        <w:jc w:val="left"/>
        <w:rPr>
          <w:rFonts w:ascii="Arial" w:hAnsi="Arial"/>
          <w:sz w:val="24"/>
        </w:rPr>
      </w:pPr>
      <w:r>
        <w:rPr/>
        <w:pict>
          <v:line style="position:absolute;mso-position-horizontal-relative:page;mso-position-vertical-relative:paragraph;z-index:1552;mso-wrap-distance-left:0;mso-wrap-distance-right:0" from="323.700012pt,20.755533pt" to="350.460012pt,20.755533pt" stroked="true" strokeweight=".499pt" strokecolor="#000000">
            <v:stroke dashstyle="solid"/>
            <w10:wrap type="topAndBottom"/>
          </v:line>
        </w:pict>
      </w:r>
      <w:r>
        <w:rPr/>
        <w:pict>
          <v:shape style="position:absolute;margin-left:274.020905pt;margin-top:22.462528pt;width:5.95pt;height:14.75pt;mso-position-horizontal-relative:page;mso-position-vertical-relative:paragraph;z-index:-58288" type="#_x0000_t202" filled="false" stroked="false">
            <v:textbox inset="0,0,0,0">
              <w:txbxContent>
                <w:p>
                  <w:pPr>
                    <w:pStyle w:val="BodyText"/>
                    <w:spacing w:before="16"/>
                    <w:rPr>
                      <w:rFonts w:ascii="Arial" w:hAnsi="Arial"/>
                    </w:rPr>
                  </w:pPr>
                  <w:r>
                    <w:rPr>
                      <w:rFonts w:ascii="Arial" w:hAnsi="Arial"/>
                      <w:w w:val="66"/>
                    </w:rPr>
                    <w:t>⎩</w:t>
                  </w:r>
                </w:p>
              </w:txbxContent>
            </v:textbox>
            <w10:wrap type="none"/>
          </v:shape>
        </w:pict>
      </w:r>
      <w:r>
        <w:rPr/>
        <w:pict>
          <v:shape style="position:absolute;margin-left:446.220001pt;margin-top:22.462528pt;width:5.95pt;height:14.75pt;mso-position-horizontal-relative:page;mso-position-vertical-relative:paragraph;z-index:-58264" type="#_x0000_t202" filled="false" stroked="false">
            <v:textbox inset="0,0,0,0">
              <w:txbxContent>
                <w:p>
                  <w:pPr>
                    <w:pStyle w:val="BodyText"/>
                    <w:spacing w:before="16"/>
                    <w:rPr>
                      <w:rFonts w:ascii="Arial" w:hAnsi="Arial"/>
                    </w:rPr>
                  </w:pPr>
                  <w:r>
                    <w:rPr>
                      <w:rFonts w:ascii="Arial" w:hAnsi="Arial"/>
                      <w:w w:val="66"/>
                    </w:rPr>
                    <w:t>⎭</w:t>
                  </w:r>
                </w:p>
              </w:txbxContent>
            </v:textbox>
            <w10:wrap type="none"/>
          </v:shape>
        </w:pict>
      </w:r>
      <w:r>
        <w:rPr>
          <w:sz w:val="24"/>
        </w:rPr>
        <w:t>g(t)  = a</w:t>
      </w:r>
      <w:r>
        <w:rPr>
          <w:sz w:val="24"/>
          <w:vertAlign w:val="subscript"/>
        </w:rPr>
        <w:t>cr</w:t>
      </w:r>
      <w:r>
        <w:rPr>
          <w:spacing w:val="-23"/>
          <w:sz w:val="24"/>
          <w:vertAlign w:val="baseline"/>
        </w:rPr>
        <w:t> </w:t>
      </w:r>
      <w:r>
        <w:rPr>
          <w:sz w:val="24"/>
          <w:vertAlign w:val="baseline"/>
        </w:rPr>
        <w:t>–</w:t>
      </w:r>
      <w:r>
        <w:rPr>
          <w:spacing w:val="-1"/>
          <w:sz w:val="24"/>
          <w:vertAlign w:val="baseline"/>
        </w:rPr>
        <w:t> </w:t>
      </w:r>
      <w:r>
        <w:rPr>
          <w:sz w:val="24"/>
          <w:vertAlign w:val="baseline"/>
        </w:rPr>
        <w:t>a(n)</w:t>
        <w:tab/>
        <w:t>with</w:t>
      </w:r>
      <w:r>
        <w:rPr>
          <w:spacing w:val="28"/>
          <w:sz w:val="24"/>
          <w:vertAlign w:val="baseline"/>
        </w:rPr>
        <w:t> </w:t>
      </w:r>
      <w:r>
        <w:rPr>
          <w:sz w:val="24"/>
          <w:vertAlign w:val="baseline"/>
        </w:rPr>
        <w:t>a(n)</w:t>
      </w:r>
      <w:r>
        <w:rPr>
          <w:spacing w:val="-16"/>
          <w:sz w:val="24"/>
          <w:vertAlign w:val="baseline"/>
        </w:rPr>
        <w:t> </w:t>
      </w:r>
      <w:r>
        <w:rPr>
          <w:sz w:val="24"/>
          <w:vertAlign w:val="baseline"/>
        </w:rPr>
        <w:t>=</w:t>
      </w:r>
      <w:r>
        <w:rPr>
          <w:spacing w:val="10"/>
          <w:sz w:val="24"/>
          <w:vertAlign w:val="baseline"/>
        </w:rPr>
        <w:t> </w:t>
      </w:r>
      <w:r>
        <w:rPr>
          <w:rFonts w:ascii="Arial" w:hAnsi="Arial"/>
          <w:position w:val="13"/>
          <w:sz w:val="24"/>
          <w:vertAlign w:val="baseline"/>
        </w:rPr>
        <w:t>⎧</w:t>
      </w:r>
      <w:r>
        <w:rPr>
          <w:i/>
          <w:sz w:val="24"/>
          <w:vertAlign w:val="baseline"/>
        </w:rPr>
        <w:t>a</w:t>
      </w:r>
      <w:r>
        <w:rPr>
          <w:sz w:val="24"/>
          <w:vertAlign w:val="superscript"/>
        </w:rPr>
        <w:t>1</w:t>
      </w:r>
      <w:r>
        <w:rPr>
          <w:rFonts w:ascii="Arial" w:hAnsi="Arial"/>
          <w:sz w:val="24"/>
          <w:vertAlign w:val="superscript"/>
        </w:rPr>
        <w:t>−</w:t>
      </w:r>
      <w:r>
        <w:rPr>
          <w:i/>
          <w:sz w:val="24"/>
          <w:vertAlign w:val="superscript"/>
        </w:rPr>
        <w:t>m</w:t>
      </w:r>
      <w:r>
        <w:rPr>
          <w:i/>
          <w:spacing w:val="-46"/>
          <w:sz w:val="24"/>
          <w:vertAlign w:val="baseline"/>
        </w:rPr>
        <w:t> </w:t>
      </w:r>
      <w:r>
        <w:rPr>
          <w:sz w:val="24"/>
          <w:vertAlign w:val="superscript"/>
        </w:rPr>
        <w:t>/</w:t>
      </w:r>
      <w:r>
        <w:rPr>
          <w:spacing w:val="-42"/>
          <w:sz w:val="24"/>
          <w:vertAlign w:val="baseline"/>
        </w:rPr>
        <w:t> </w:t>
      </w:r>
      <w:r>
        <w:rPr>
          <w:sz w:val="24"/>
          <w:vertAlign w:val="superscript"/>
        </w:rPr>
        <w:t>2</w:t>
      </w:r>
      <w:r>
        <w:rPr>
          <w:spacing w:val="-22"/>
          <w:sz w:val="24"/>
          <w:vertAlign w:val="baseline"/>
        </w:rPr>
        <w:t> </w:t>
      </w:r>
      <w:r>
        <w:rPr>
          <w:rFonts w:ascii="Arial" w:hAnsi="Arial"/>
          <w:sz w:val="24"/>
          <w:vertAlign w:val="baseline"/>
        </w:rPr>
        <w:t>+</w:t>
        <w:tab/>
      </w:r>
      <w:r>
        <w:rPr>
          <w:position w:val="15"/>
          <w:sz w:val="24"/>
          <w:vertAlign w:val="baseline"/>
        </w:rPr>
        <w:t>2</w:t>
        <w:tab/>
      </w:r>
      <w:r>
        <w:rPr>
          <w:i/>
          <w:sz w:val="24"/>
          <w:vertAlign w:val="baseline"/>
        </w:rPr>
        <w:t>C</w:t>
      </w:r>
      <w:r>
        <w:rPr>
          <w:i/>
          <w:spacing w:val="-10"/>
          <w:sz w:val="24"/>
          <w:vertAlign w:val="baseline"/>
        </w:rPr>
        <w:t> </w:t>
      </w:r>
      <w:r>
        <w:rPr>
          <w:i/>
          <w:sz w:val="24"/>
          <w:vertAlign w:val="baseline"/>
        </w:rPr>
        <w:t>Y </w:t>
      </w:r>
      <w:r>
        <w:rPr>
          <w:rFonts w:ascii="Arial" w:hAnsi="Arial"/>
          <w:i/>
          <w:sz w:val="25"/>
          <w:vertAlign w:val="baseline"/>
        </w:rPr>
        <w:t>π</w:t>
      </w:r>
      <w:r>
        <w:rPr>
          <w:rFonts w:ascii="Arial" w:hAnsi="Arial"/>
          <w:i/>
          <w:spacing w:val="-20"/>
          <w:sz w:val="25"/>
          <w:vertAlign w:val="baseline"/>
        </w:rPr>
        <w:t> </w:t>
      </w:r>
      <w:r>
        <w:rPr>
          <w:i/>
          <w:position w:val="11"/>
          <w:sz w:val="18"/>
          <w:vertAlign w:val="baseline"/>
        </w:rPr>
        <w:t>m</w:t>
      </w:r>
      <w:r>
        <w:rPr>
          <w:i/>
          <w:spacing w:val="-27"/>
          <w:position w:val="11"/>
          <w:sz w:val="18"/>
          <w:vertAlign w:val="baseline"/>
        </w:rPr>
        <w:t> </w:t>
      </w:r>
      <w:r>
        <w:rPr>
          <w:position w:val="11"/>
          <w:sz w:val="18"/>
          <w:vertAlign w:val="baseline"/>
        </w:rPr>
        <w:t>/</w:t>
      </w:r>
      <w:r>
        <w:rPr>
          <w:spacing w:val="-22"/>
          <w:position w:val="11"/>
          <w:sz w:val="18"/>
          <w:vertAlign w:val="baseline"/>
        </w:rPr>
        <w:t> </w:t>
      </w:r>
      <w:r>
        <w:rPr>
          <w:position w:val="11"/>
          <w:sz w:val="18"/>
          <w:vertAlign w:val="baseline"/>
        </w:rPr>
        <w:t>2</w:t>
      </w:r>
      <w:r>
        <w:rPr>
          <w:spacing w:val="11"/>
          <w:position w:val="11"/>
          <w:sz w:val="18"/>
          <w:vertAlign w:val="baseline"/>
        </w:rPr>
        <w:t> </w:t>
      </w:r>
      <w:r>
        <w:rPr>
          <w:i/>
          <w:spacing w:val="-3"/>
          <w:sz w:val="24"/>
          <w:vertAlign w:val="baseline"/>
        </w:rPr>
        <w:t>nE</w:t>
      </w:r>
      <w:r>
        <w:rPr>
          <w:spacing w:val="-3"/>
          <w:sz w:val="24"/>
          <w:vertAlign w:val="baseline"/>
        </w:rPr>
        <w:t>{</w:t>
      </w:r>
      <w:r>
        <w:rPr>
          <w:rFonts w:ascii="Arial" w:hAnsi="Arial"/>
          <w:spacing w:val="-3"/>
          <w:sz w:val="24"/>
          <w:vertAlign w:val="baseline"/>
        </w:rPr>
        <w:t>Δ</w:t>
      </w:r>
      <w:r>
        <w:rPr>
          <w:i/>
          <w:spacing w:val="-3"/>
          <w:sz w:val="24"/>
          <w:vertAlign w:val="baseline"/>
        </w:rPr>
        <w:t>s</w:t>
      </w:r>
      <w:r>
        <w:rPr>
          <w:i/>
          <w:spacing w:val="-41"/>
          <w:sz w:val="24"/>
          <w:vertAlign w:val="baseline"/>
        </w:rPr>
        <w:t> </w:t>
      </w:r>
      <w:r>
        <w:rPr>
          <w:i/>
          <w:sz w:val="24"/>
          <w:vertAlign w:val="superscript"/>
        </w:rPr>
        <w:t>m</w:t>
      </w:r>
      <w:r>
        <w:rPr>
          <w:sz w:val="24"/>
          <w:vertAlign w:val="baseline"/>
        </w:rPr>
        <w:t>}</w:t>
      </w:r>
      <w:r>
        <w:rPr>
          <w:rFonts w:ascii="Arial" w:hAnsi="Arial"/>
          <w:position w:val="13"/>
          <w:sz w:val="24"/>
          <w:vertAlign w:val="baseline"/>
        </w:rPr>
        <w:t>⎫</w:t>
      </w:r>
    </w:p>
    <w:p>
      <w:pPr>
        <w:tabs>
          <w:tab w:pos="5249" w:val="left" w:leader="none"/>
          <w:tab w:pos="7684" w:val="left" w:leader="none"/>
        </w:tabs>
        <w:spacing w:before="12"/>
        <w:ind w:left="4240" w:right="0" w:firstLine="0"/>
        <w:jc w:val="left"/>
        <w:rPr>
          <w:rFonts w:ascii="Arial" w:hAnsi="Arial"/>
          <w:sz w:val="24"/>
        </w:rPr>
      </w:pPr>
      <w:r>
        <w:rPr>
          <w:rFonts w:ascii="Arial" w:hAnsi="Arial"/>
          <w:w w:val="95"/>
          <w:position w:val="15"/>
          <w:sz w:val="24"/>
        </w:rPr>
        <w:t>⎨</w:t>
      </w:r>
      <w:r>
        <w:rPr>
          <w:rFonts w:ascii="Arial" w:hAnsi="Arial"/>
          <w:spacing w:val="35"/>
          <w:w w:val="95"/>
          <w:position w:val="15"/>
          <w:sz w:val="24"/>
        </w:rPr>
        <w:t> </w:t>
      </w:r>
      <w:r>
        <w:rPr>
          <w:i/>
          <w:position w:val="13"/>
          <w:sz w:val="18"/>
        </w:rPr>
        <w:t>o</w:t>
        <w:tab/>
      </w:r>
      <w:r>
        <w:rPr>
          <w:sz w:val="24"/>
        </w:rPr>
        <w:t>2</w:t>
      </w:r>
      <w:r>
        <w:rPr>
          <w:spacing w:val="-22"/>
          <w:sz w:val="24"/>
        </w:rPr>
        <w:t> </w:t>
      </w:r>
      <w:r>
        <w:rPr>
          <w:rFonts w:ascii="Arial" w:hAnsi="Arial"/>
          <w:sz w:val="24"/>
        </w:rPr>
        <w:t>−</w:t>
      </w:r>
      <w:r>
        <w:rPr>
          <w:rFonts w:ascii="Arial" w:hAnsi="Arial"/>
          <w:spacing w:val="-27"/>
          <w:sz w:val="24"/>
        </w:rPr>
        <w:t> </w:t>
      </w:r>
      <w:r>
        <w:rPr>
          <w:i/>
          <w:sz w:val="24"/>
        </w:rPr>
        <w:t>m</w:t>
        <w:tab/>
      </w:r>
      <w:r>
        <w:rPr>
          <w:rFonts w:ascii="Arial" w:hAnsi="Arial"/>
          <w:w w:val="95"/>
          <w:position w:val="15"/>
          <w:sz w:val="24"/>
        </w:rPr>
        <w:t>⎬</w:t>
      </w:r>
    </w:p>
    <w:p>
      <w:pPr>
        <w:pStyle w:val="BodyText"/>
        <w:rPr>
          <w:rFonts w:ascii="Arial"/>
          <w:sz w:val="20"/>
        </w:rPr>
      </w:pPr>
    </w:p>
    <w:p>
      <w:pPr>
        <w:spacing w:after="0"/>
        <w:rPr>
          <w:rFonts w:ascii="Arial"/>
          <w:sz w:val="20"/>
        </w:rPr>
        <w:sectPr>
          <w:type w:val="continuous"/>
          <w:pgSz w:w="11910" w:h="16840"/>
          <w:pgMar w:top="580" w:bottom="280" w:left="1240" w:right="1300"/>
        </w:sectPr>
      </w:pPr>
    </w:p>
    <w:p>
      <w:pPr>
        <w:pStyle w:val="BodyText"/>
        <w:spacing w:before="11"/>
        <w:rPr>
          <w:rFonts w:ascii="Arial"/>
          <w:sz w:val="21"/>
        </w:rPr>
      </w:pPr>
    </w:p>
    <w:p>
      <w:pPr>
        <w:pStyle w:val="BodyText"/>
        <w:ind w:left="177"/>
      </w:pPr>
      <w:r>
        <w:rPr/>
        <w:t>or in the time domain:</w:t>
      </w:r>
    </w:p>
    <w:p>
      <w:pPr>
        <w:pStyle w:val="BodyText"/>
        <w:rPr>
          <w:sz w:val="26"/>
        </w:rPr>
      </w:pPr>
    </w:p>
    <w:p>
      <w:pPr>
        <w:pStyle w:val="BodyText"/>
        <w:tabs>
          <w:tab w:pos="3012" w:val="left" w:leader="none"/>
        </w:tabs>
        <w:spacing w:before="199"/>
        <w:ind w:left="886"/>
      </w:pPr>
      <w:r>
        <w:rPr/>
        <w:t>g(t) =  N</w:t>
      </w:r>
      <w:r>
        <w:rPr>
          <w:spacing w:val="-4"/>
        </w:rPr>
        <w:t> </w:t>
      </w:r>
      <w:r>
        <w:rPr/>
        <w:t>–</w:t>
      </w:r>
      <w:r>
        <w:rPr>
          <w:spacing w:val="-2"/>
        </w:rPr>
        <w:t> </w:t>
      </w:r>
      <w:r>
        <w:rPr/>
        <w:t>n</w:t>
        <w:tab/>
        <w:t>with N</w:t>
      </w:r>
      <w:r>
        <w:rPr>
          <w:spacing w:val="-4"/>
        </w:rPr>
        <w:t> </w:t>
      </w:r>
      <w:r>
        <w:rPr/>
        <w:t>=</w:t>
      </w:r>
    </w:p>
    <w:p>
      <w:pPr>
        <w:pStyle w:val="BodyText"/>
        <w:rPr>
          <w:sz w:val="32"/>
        </w:rPr>
      </w:pPr>
      <w:r>
        <w:rPr/>
        <w:br w:type="column"/>
      </w:r>
      <w:r>
        <w:rPr>
          <w:sz w:val="32"/>
        </w:rPr>
      </w:r>
    </w:p>
    <w:p>
      <w:pPr>
        <w:pStyle w:val="BodyText"/>
        <w:rPr>
          <w:sz w:val="46"/>
        </w:rPr>
      </w:pPr>
    </w:p>
    <w:p>
      <w:pPr>
        <w:spacing w:line="299" w:lineRule="exact" w:before="1"/>
        <w:ind w:left="42" w:right="3881" w:firstLine="0"/>
        <w:jc w:val="center"/>
        <w:rPr>
          <w:sz w:val="22"/>
        </w:rPr>
      </w:pPr>
      <w:r>
        <w:rPr>
          <w:rFonts w:ascii="Arial" w:hAnsi="Arial"/>
          <w:sz w:val="22"/>
        </w:rPr>
        <w:t>ψ</w:t>
      </w:r>
      <w:r>
        <w:rPr>
          <w:sz w:val="22"/>
        </w:rPr>
        <w:t>(a</w:t>
      </w:r>
      <w:r>
        <w:rPr>
          <w:position w:val="-4"/>
          <w:sz w:val="22"/>
        </w:rPr>
        <w:t>cr </w:t>
      </w:r>
      <w:r>
        <w:rPr>
          <w:sz w:val="22"/>
        </w:rPr>
        <w:t>) </w:t>
      </w:r>
      <w:r>
        <w:rPr>
          <w:rFonts w:ascii="Arial" w:hAnsi="Arial"/>
          <w:sz w:val="22"/>
        </w:rPr>
        <w:t>− ψ</w:t>
      </w:r>
      <w:r>
        <w:rPr>
          <w:sz w:val="22"/>
        </w:rPr>
        <w:t>(a</w:t>
      </w:r>
      <w:r>
        <w:rPr>
          <w:position w:val="-4"/>
          <w:sz w:val="22"/>
        </w:rPr>
        <w:t>o </w:t>
      </w:r>
      <w:r>
        <w:rPr>
          <w:sz w:val="22"/>
        </w:rPr>
        <w:t>)</w:t>
      </w:r>
    </w:p>
    <w:p>
      <w:pPr>
        <w:spacing w:line="348" w:lineRule="exact" w:before="0"/>
        <w:ind w:left="42" w:right="3862" w:firstLine="0"/>
        <w:jc w:val="center"/>
        <w:rPr>
          <w:sz w:val="22"/>
        </w:rPr>
      </w:pPr>
      <w:r>
        <w:rPr/>
        <w:pict>
          <v:line style="position:absolute;mso-position-horizontal-relative:page;mso-position-vertical-relative:paragraph;z-index:1648" from="263.459991pt,.005369pt" to="334.979991pt,.005369pt" stroked="true" strokeweight=".499pt" strokecolor="#000000">
            <v:stroke dashstyle="solid"/>
            <w10:wrap type="none"/>
          </v:line>
        </w:pict>
      </w:r>
      <w:r>
        <w:rPr>
          <w:sz w:val="22"/>
        </w:rPr>
        <w:t>E{(</w:t>
      </w:r>
      <w:r>
        <w:rPr>
          <w:rFonts w:ascii="Arial" w:hAnsi="Arial"/>
          <w:sz w:val="22"/>
        </w:rPr>
        <w:t>Δ</w:t>
      </w:r>
      <w:r>
        <w:rPr>
          <w:sz w:val="22"/>
        </w:rPr>
        <w:t>S)</w:t>
      </w:r>
      <w:r>
        <w:rPr>
          <w:position w:val="10"/>
          <w:sz w:val="22"/>
        </w:rPr>
        <w:t>m</w:t>
      </w:r>
      <w:r>
        <w:rPr>
          <w:sz w:val="22"/>
        </w:rPr>
        <w:t>}</w:t>
      </w:r>
    </w:p>
    <w:p>
      <w:pPr>
        <w:spacing w:after="0" w:line="348" w:lineRule="exact"/>
        <w:jc w:val="center"/>
        <w:rPr>
          <w:sz w:val="22"/>
        </w:rPr>
        <w:sectPr>
          <w:type w:val="continuous"/>
          <w:pgSz w:w="11910" w:h="16840"/>
          <w:pgMar w:top="580" w:bottom="280" w:left="1240" w:right="1300"/>
          <w:cols w:num="2" w:equalWidth="0">
            <w:col w:w="3929" w:space="40"/>
            <w:col w:w="5401"/>
          </w:cols>
        </w:sectPr>
      </w:pPr>
    </w:p>
    <w:p>
      <w:pPr>
        <w:pStyle w:val="BodyText"/>
        <w:spacing w:before="7"/>
        <w:rPr>
          <w:sz w:val="16"/>
        </w:rPr>
      </w:pPr>
    </w:p>
    <w:p>
      <w:pPr>
        <w:pStyle w:val="BodyText"/>
        <w:spacing w:before="91"/>
        <w:ind w:left="177"/>
      </w:pPr>
      <w:r>
        <w:rPr/>
        <w:t>These alternative formulations are fully equivalent to the first one.</w:t>
      </w:r>
    </w:p>
    <w:p>
      <w:pPr>
        <w:pStyle w:val="BodyText"/>
        <w:rPr>
          <w:sz w:val="20"/>
        </w:rPr>
      </w:pPr>
    </w:p>
    <w:p>
      <w:pPr>
        <w:pStyle w:val="BodyText"/>
        <w:spacing w:before="9"/>
        <w:rPr>
          <w:sz w:val="21"/>
        </w:rPr>
      </w:pPr>
    </w:p>
    <w:p>
      <w:pPr>
        <w:spacing w:before="0"/>
        <w:ind w:left="1194" w:right="0" w:firstLine="0"/>
        <w:jc w:val="left"/>
        <w:rPr>
          <w:sz w:val="19"/>
        </w:rPr>
      </w:pPr>
      <w:r>
        <w:rPr>
          <w:w w:val="105"/>
          <w:sz w:val="19"/>
        </w:rPr>
        <w:t>R,S</w:t>
      </w:r>
    </w:p>
    <w:p>
      <w:pPr>
        <w:pStyle w:val="BodyText"/>
        <w:spacing w:before="4"/>
        <w:rPr>
          <w:sz w:val="9"/>
        </w:rPr>
      </w:pPr>
      <w:r>
        <w:rPr/>
        <w:pict>
          <v:group style="position:absolute;margin-left:125.580002pt;margin-top:7.334883pt;width:279.75pt;height:149.2pt;mso-position-horizontal-relative:page;mso-position-vertical-relative:paragraph;z-index:1816;mso-wrap-distance-left:0;mso-wrap-distance-right:0" coordorigin="2512,147" coordsize="5595,2984">
            <v:shape style="position:absolute;left:2534;top:458;width:4600;height:2672" type="#_x0000_t75" stroked="false">
              <v:imagedata r:id="rId7" o:title=""/>
            </v:shape>
            <v:line style="position:absolute" from="2542,2447" to="7890,2447" stroked="true" strokeweight=".599980pt" strokecolor="#000000">
              <v:stroke dashstyle="solid"/>
            </v:line>
            <v:line style="position:absolute" from="2543,222" to="2543,2446" stroked="true" strokeweight=".36pt" strokecolor="#000000">
              <v:stroke dashstyle="solid"/>
            </v:line>
            <v:shape style="position:absolute;left:2539;top:2441;width:8;height:12" coordorigin="2539,2441" coordsize="8,12" path="m2542,2446l2539,2446,2539,2453,2542,2453,2542,2446xm2542,2441l2542,2446,2546,2446,2542,2441xe" filled="true" fillcolor="#000000" stroked="false">
              <v:path arrowok="t"/>
              <v:fill type="solid"/>
            </v:shape>
            <v:shape style="position:absolute;left:7868;top:2411;width:84;height:74" coordorigin="7868,2411" coordsize="84,74" path="m7868,2411l7890,2446,7868,2484,7952,2446,7868,2411xe" filled="true" fillcolor="#000000" stroked="false">
              <v:path arrowok="t"/>
              <v:fill type="solid"/>
            </v:shape>
            <v:shape style="position:absolute;left:2511;top:146;width:63;height:100" coordorigin="2512,147" coordsize="63,100" path="m2542,147l2512,246,2542,222,2566,222,2542,147xm2566,222l2542,222,2574,246,2566,222xe" filled="true" fillcolor="#000000" stroked="false">
              <v:path arrowok="t"/>
              <v:fill type="solid"/>
            </v:shape>
            <v:line style="position:absolute" from="6779,1457" to="7076,1104" stroked="true" strokeweight=".243046pt" strokecolor="#000000">
              <v:stroke dashstyle="solid"/>
            </v:line>
            <v:shape style="position:absolute;left:6744;top:1418;width:65;height:82" coordorigin="6744,1419" coordsize="65,82" path="m6772,1419l6744,1500,6809,1462,6779,1457,6772,1419xe" filled="true" fillcolor="#000000" stroked="false">
              <v:path arrowok="t"/>
              <v:fill type="solid"/>
            </v:shape>
            <v:shape style="position:absolute;left:5505;top:488;width:391;height:262" type="#_x0000_t202" filled="false" stroked="false">
              <v:textbox inset="0,0,0,0">
                <w:txbxContent>
                  <w:p>
                    <w:pPr>
                      <w:spacing w:before="21"/>
                      <w:ind w:left="0" w:right="0" w:firstLine="0"/>
                      <w:jc w:val="left"/>
                      <w:rPr>
                        <w:sz w:val="19"/>
                      </w:rPr>
                    </w:pPr>
                    <w:r>
                      <w:rPr>
                        <w:w w:val="105"/>
                        <w:sz w:val="19"/>
                      </w:rPr>
                      <w:t>R </w:t>
                    </w:r>
                    <w:r>
                      <w:rPr>
                        <w:spacing w:val="-5"/>
                        <w:w w:val="105"/>
                        <w:sz w:val="19"/>
                      </w:rPr>
                      <w:t>(</w:t>
                    </w:r>
                    <w:r>
                      <w:rPr>
                        <w:rFonts w:ascii="Arial" w:hAnsi="Arial"/>
                        <w:spacing w:val="-5"/>
                        <w:w w:val="105"/>
                        <w:position w:val="2"/>
                        <w:sz w:val="19"/>
                      </w:rPr>
                      <w:t>τ</w:t>
                    </w:r>
                    <w:r>
                      <w:rPr>
                        <w:spacing w:val="-5"/>
                        <w:w w:val="105"/>
                        <w:sz w:val="19"/>
                      </w:rPr>
                      <w:t>)</w:t>
                    </w:r>
                  </w:p>
                </w:txbxContent>
              </v:textbox>
              <w10:wrap type="none"/>
            </v:shape>
            <v:shape style="position:absolute;left:7225;top:967;width:554;height:218" type="#_x0000_t202" filled="false" stroked="false">
              <v:textbox inset="0,0,0,0">
                <w:txbxContent>
                  <w:p>
                    <w:pPr>
                      <w:spacing w:line="216" w:lineRule="exact" w:before="0"/>
                      <w:ind w:left="0" w:right="0" w:firstLine="0"/>
                      <w:jc w:val="left"/>
                      <w:rPr>
                        <w:sz w:val="19"/>
                      </w:rPr>
                    </w:pPr>
                    <w:r>
                      <w:rPr>
                        <w:w w:val="105"/>
                        <w:sz w:val="19"/>
                      </w:rPr>
                      <w:t>failure</w:t>
                    </w:r>
                  </w:p>
                </w:txbxContent>
              </v:textbox>
              <w10:wrap type="none"/>
            </v:shape>
            <v:shape style="position:absolute;left:4978;top:1488;width:130;height:218" type="#_x0000_t202" filled="false" stroked="false">
              <v:textbox inset="0,0,0,0">
                <w:txbxContent>
                  <w:p>
                    <w:pPr>
                      <w:spacing w:line="216" w:lineRule="exact" w:before="0"/>
                      <w:ind w:left="0" w:right="0" w:firstLine="0"/>
                      <w:jc w:val="left"/>
                      <w:rPr>
                        <w:sz w:val="19"/>
                      </w:rPr>
                    </w:pPr>
                    <w:r>
                      <w:rPr>
                        <w:w w:val="103"/>
                        <w:sz w:val="19"/>
                      </w:rPr>
                      <w:t>S</w:t>
                    </w:r>
                  </w:p>
                </w:txbxContent>
              </v:textbox>
              <w10:wrap type="none"/>
            </v:shape>
            <v:shape style="position:absolute;left:6927;top:2671;width:1179;height:218" type="#_x0000_t202" filled="false" stroked="false">
              <v:textbox inset="0,0,0,0">
                <w:txbxContent>
                  <w:p>
                    <w:pPr>
                      <w:spacing w:line="216" w:lineRule="exact" w:before="0"/>
                      <w:ind w:left="0" w:right="0" w:firstLine="0"/>
                      <w:jc w:val="left"/>
                      <w:rPr>
                        <w:sz w:val="19"/>
                      </w:rPr>
                    </w:pPr>
                    <w:r>
                      <w:rPr>
                        <w:w w:val="105"/>
                        <w:sz w:val="19"/>
                      </w:rPr>
                      <w:t>k = load cycle</w:t>
                    </w:r>
                  </w:p>
                </w:txbxContent>
              </v:textbox>
              <w10:wrap type="none"/>
            </v:shape>
            <w10:wrap type="topAndBottom"/>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
      </w:pPr>
    </w:p>
    <w:p>
      <w:pPr>
        <w:pStyle w:val="BodyText"/>
        <w:spacing w:before="90"/>
        <w:ind w:left="177"/>
      </w:pPr>
      <w:r>
        <w:rPr/>
        <w:t>Figure B3: Fatigue fracture under cyclic loading</w:t>
      </w:r>
    </w:p>
    <w:p>
      <w:pPr>
        <w:pStyle w:val="BodyText"/>
        <w:rPr>
          <w:sz w:val="26"/>
        </w:rPr>
      </w:pPr>
    </w:p>
    <w:p>
      <w:pPr>
        <w:pStyle w:val="BodyText"/>
        <w:spacing w:before="7"/>
        <w:rPr>
          <w:sz w:val="21"/>
        </w:rPr>
      </w:pPr>
    </w:p>
    <w:p>
      <w:pPr>
        <w:pStyle w:val="Heading2"/>
        <w:numPr>
          <w:ilvl w:val="1"/>
          <w:numId w:val="2"/>
        </w:numPr>
        <w:tabs>
          <w:tab w:pos="969" w:val="left" w:leader="none"/>
          <w:tab w:pos="970" w:val="left" w:leader="none"/>
        </w:tabs>
        <w:spacing w:line="240" w:lineRule="auto" w:before="0" w:after="0"/>
        <w:ind w:left="969" w:right="0" w:hanging="792"/>
        <w:jc w:val="left"/>
      </w:pPr>
      <w:bookmarkStart w:name="_TOC_250013" w:id="37"/>
      <w:bookmarkEnd w:id="37"/>
      <w:r>
        <w:rPr/>
        <w:t>Effect of inspection</w:t>
      </w:r>
    </w:p>
    <w:p>
      <w:pPr>
        <w:pStyle w:val="BodyText"/>
        <w:spacing w:line="312" w:lineRule="auto" w:before="202"/>
        <w:ind w:left="177" w:right="108"/>
        <w:jc w:val="both"/>
      </w:pPr>
      <w:r>
        <w:rPr/>
        <w:t>In the case of deteriorating processes it may be uneconomic to design a structure in such a way that the reliability is sufficient for a normal design life of 50 years. In those cases a more economical solution can be obtained by the definition of an inspection scheme. In those cases failure will not occur if the inspection reveals some predefined deterioration criterion and the structure is repaired</w:t>
      </w:r>
      <w:r>
        <w:rPr>
          <w:spacing w:val="-2"/>
        </w:rPr>
        <w:t> </w:t>
      </w:r>
      <w:r>
        <w:rPr/>
        <w:t>adequately.</w:t>
      </w:r>
    </w:p>
    <w:p>
      <w:pPr>
        <w:pStyle w:val="BodyText"/>
        <w:spacing w:before="9"/>
        <w:rPr>
          <w:sz w:val="31"/>
        </w:rPr>
      </w:pPr>
    </w:p>
    <w:p>
      <w:pPr>
        <w:pStyle w:val="BodyText"/>
        <w:spacing w:line="312" w:lineRule="auto"/>
        <w:ind w:left="177" w:right="110"/>
        <w:jc w:val="both"/>
      </w:pPr>
      <w:r>
        <w:rPr/>
        <w:t>The sequence of events can be represented in an event tree as indicated in Figure B4. Let the first inspection I</w:t>
      </w:r>
      <w:r>
        <w:rPr>
          <w:vertAlign w:val="subscript"/>
        </w:rPr>
        <w:t>i</w:t>
      </w:r>
      <w:r>
        <w:rPr>
          <w:vertAlign w:val="baseline"/>
        </w:rPr>
        <w:t> be planned at time t</w:t>
      </w:r>
      <w:r>
        <w:rPr>
          <w:vertAlign w:val="subscript"/>
        </w:rPr>
        <w:t>i</w:t>
      </w:r>
      <w:r>
        <w:rPr>
          <w:vertAlign w:val="baseline"/>
        </w:rPr>
        <w:t>. In that case we may have three possibilities.</w:t>
      </w:r>
    </w:p>
    <w:p>
      <w:pPr>
        <w:pStyle w:val="BodyText"/>
        <w:spacing w:before="6"/>
        <w:rPr>
          <w:sz w:val="31"/>
        </w:rPr>
      </w:pPr>
    </w:p>
    <w:p>
      <w:pPr>
        <w:pStyle w:val="ListParagraph"/>
        <w:numPr>
          <w:ilvl w:val="0"/>
          <w:numId w:val="17"/>
        </w:numPr>
        <w:tabs>
          <w:tab w:pos="1147" w:val="left" w:leader="none"/>
        </w:tabs>
        <w:spacing w:line="240" w:lineRule="auto" w:before="0" w:after="0"/>
        <w:ind w:left="1146" w:right="0" w:hanging="260"/>
        <w:jc w:val="left"/>
        <w:rPr>
          <w:sz w:val="24"/>
        </w:rPr>
      </w:pPr>
      <w:r>
        <w:rPr>
          <w:sz w:val="24"/>
        </w:rPr>
        <w:t>a failure occurs before t</w:t>
      </w:r>
      <w:r>
        <w:rPr>
          <w:sz w:val="24"/>
          <w:vertAlign w:val="subscript"/>
        </w:rPr>
        <w:t>i</w:t>
      </w:r>
      <w:r>
        <w:rPr>
          <w:sz w:val="24"/>
          <w:vertAlign w:val="baseline"/>
        </w:rPr>
        <w:t> (branche</w:t>
      </w:r>
      <w:r>
        <w:rPr>
          <w:spacing w:val="-40"/>
          <w:sz w:val="24"/>
          <w:vertAlign w:val="baseline"/>
        </w:rPr>
        <w:t> </w:t>
      </w:r>
      <w:r>
        <w:rPr>
          <w:sz w:val="24"/>
          <w:vertAlign w:val="baseline"/>
        </w:rPr>
        <w:t>F)</w:t>
      </w:r>
    </w:p>
    <w:p>
      <w:pPr>
        <w:pStyle w:val="ListParagraph"/>
        <w:numPr>
          <w:ilvl w:val="0"/>
          <w:numId w:val="17"/>
        </w:numPr>
        <w:tabs>
          <w:tab w:pos="1147" w:val="left" w:leader="none"/>
        </w:tabs>
        <w:spacing w:line="240" w:lineRule="auto" w:before="84" w:after="0"/>
        <w:ind w:left="1146" w:right="0" w:hanging="260"/>
        <w:jc w:val="left"/>
        <w:rPr>
          <w:sz w:val="24"/>
        </w:rPr>
      </w:pPr>
      <w:r>
        <w:rPr>
          <w:sz w:val="24"/>
        </w:rPr>
        <w:t>the inspection detects a serious defect and repair is necessary (branche</w:t>
      </w:r>
      <w:r>
        <w:rPr>
          <w:spacing w:val="-15"/>
          <w:sz w:val="24"/>
        </w:rPr>
        <w:t> </w:t>
      </w:r>
      <w:r>
        <w:rPr>
          <w:sz w:val="24"/>
        </w:rPr>
        <w:t>R)</w:t>
      </w:r>
    </w:p>
    <w:p>
      <w:pPr>
        <w:pStyle w:val="ListParagraph"/>
        <w:numPr>
          <w:ilvl w:val="0"/>
          <w:numId w:val="17"/>
        </w:numPr>
        <w:tabs>
          <w:tab w:pos="1147" w:val="left" w:leader="none"/>
        </w:tabs>
        <w:spacing w:line="240" w:lineRule="auto" w:before="84" w:after="0"/>
        <w:ind w:left="1146" w:right="0" w:hanging="260"/>
        <w:jc w:val="left"/>
        <w:rPr>
          <w:sz w:val="24"/>
        </w:rPr>
      </w:pPr>
      <w:r>
        <w:rPr>
          <w:sz w:val="24"/>
        </w:rPr>
        <w:t>no serious defect is detected and a next inspection at t = t</w:t>
      </w:r>
      <w:r>
        <w:rPr>
          <w:sz w:val="24"/>
          <w:vertAlign w:val="subscript"/>
        </w:rPr>
        <w:t>2</w:t>
      </w:r>
      <w:r>
        <w:rPr>
          <w:sz w:val="24"/>
          <w:vertAlign w:val="baseline"/>
        </w:rPr>
        <w:t> is</w:t>
      </w:r>
      <w:r>
        <w:rPr>
          <w:spacing w:val="-32"/>
          <w:sz w:val="24"/>
          <w:vertAlign w:val="baseline"/>
        </w:rPr>
        <w:t> </w:t>
      </w:r>
      <w:r>
        <w:rPr>
          <w:sz w:val="24"/>
          <w:vertAlign w:val="baseline"/>
        </w:rPr>
        <w:t>planned</w:t>
      </w:r>
    </w:p>
    <w:p>
      <w:pPr>
        <w:pStyle w:val="BodyText"/>
        <w:spacing w:before="7"/>
        <w:rPr>
          <w:sz w:val="38"/>
        </w:rPr>
      </w:pPr>
    </w:p>
    <w:p>
      <w:pPr>
        <w:pStyle w:val="BodyText"/>
        <w:spacing w:line="312" w:lineRule="auto" w:before="1"/>
        <w:ind w:left="177" w:right="111"/>
        <w:jc w:val="both"/>
      </w:pPr>
      <w:r>
        <w:rPr/>
        <w:t>If the structure is repaired, one may usually assume that all variables are reset to the initial situation. From every event R then a new event tree of the same type as the one in figure B4 is started.</w:t>
      </w:r>
    </w:p>
    <w:p>
      <w:pPr>
        <w:pStyle w:val="BodyText"/>
        <w:spacing w:before="7"/>
        <w:rPr>
          <w:sz w:val="31"/>
        </w:rPr>
      </w:pPr>
    </w:p>
    <w:p>
      <w:pPr>
        <w:pStyle w:val="BodyText"/>
        <w:spacing w:line="312" w:lineRule="auto"/>
        <w:ind w:left="177" w:right="112"/>
        <w:jc w:val="both"/>
      </w:pPr>
      <w:r>
        <w:rPr/>
        <w:t>For reasons of simplicity we will start by having one inspection only. Using the total probability theorem, the probability of failure for a period t may then formally be written as:</w:t>
      </w:r>
    </w:p>
    <w:p>
      <w:pPr>
        <w:spacing w:after="0" w:line="312" w:lineRule="auto"/>
        <w:jc w:val="both"/>
        <w:sectPr>
          <w:pgSz w:w="11910" w:h="16840"/>
          <w:pgMar w:header="0" w:footer="788" w:top="1600" w:bottom="980" w:left="1240" w:right="1300"/>
        </w:sectPr>
      </w:pPr>
    </w:p>
    <w:p>
      <w:pPr>
        <w:pStyle w:val="BodyText"/>
        <w:spacing w:before="7"/>
        <w:rPr>
          <w:sz w:val="16"/>
        </w:rPr>
      </w:pPr>
    </w:p>
    <w:p>
      <w:pPr>
        <w:pStyle w:val="BodyText"/>
        <w:tabs>
          <w:tab w:pos="8687" w:val="left" w:leader="none"/>
        </w:tabs>
        <w:spacing w:before="91"/>
        <w:ind w:left="886"/>
      </w:pPr>
      <w:r>
        <w:rPr/>
        <w:t>P</w:t>
      </w:r>
      <w:r>
        <w:rPr>
          <w:vertAlign w:val="subscript"/>
        </w:rPr>
        <w:t>F</w:t>
      </w:r>
      <w:r>
        <w:rPr>
          <w:vertAlign w:val="baseline"/>
        </w:rPr>
        <w:t>(t)</w:t>
      </w:r>
      <w:r>
        <w:rPr>
          <w:spacing w:val="-1"/>
          <w:vertAlign w:val="baseline"/>
        </w:rPr>
        <w:t> </w:t>
      </w:r>
      <w:r>
        <w:rPr>
          <w:vertAlign w:val="baseline"/>
        </w:rPr>
        <w:t>=</w:t>
      </w:r>
      <w:r>
        <w:rPr>
          <w:spacing w:val="-1"/>
          <w:vertAlign w:val="baseline"/>
        </w:rPr>
        <w:t> </w:t>
      </w:r>
      <w:r>
        <w:rPr>
          <w:vertAlign w:val="baseline"/>
        </w:rPr>
        <w:t>P</w:t>
      </w:r>
      <w:r>
        <w:rPr>
          <w:b/>
          <w:vertAlign w:val="baseline"/>
        </w:rPr>
        <w:t>[</w:t>
      </w:r>
      <w:r>
        <w:rPr>
          <w:b/>
          <w:spacing w:val="-1"/>
          <w:vertAlign w:val="baseline"/>
        </w:rPr>
        <w:t> </w:t>
      </w:r>
      <w:r>
        <w:rPr>
          <w:vertAlign w:val="baseline"/>
        </w:rPr>
        <w:t>F</w:t>
      </w:r>
      <w:r>
        <w:rPr>
          <w:spacing w:val="-2"/>
          <w:vertAlign w:val="baseline"/>
        </w:rPr>
        <w:t> </w:t>
      </w:r>
      <w:r>
        <w:rPr>
          <w:vertAlign w:val="baseline"/>
        </w:rPr>
        <w:t>|</w:t>
      </w:r>
      <w:r>
        <w:rPr>
          <w:spacing w:val="-1"/>
          <w:vertAlign w:val="baseline"/>
        </w:rPr>
        <w:t> </w:t>
      </w:r>
      <w:r>
        <w:rPr>
          <w:vertAlign w:val="baseline"/>
        </w:rPr>
        <w:t>Z</w:t>
      </w:r>
      <w:r>
        <w:rPr>
          <w:vertAlign w:val="subscript"/>
        </w:rPr>
        <w:t>i</w:t>
      </w:r>
      <w:r>
        <w:rPr>
          <w:spacing w:val="-22"/>
          <w:vertAlign w:val="baseline"/>
        </w:rPr>
        <w:t> </w:t>
      </w:r>
      <w:r>
        <w:rPr>
          <w:vertAlign w:val="baseline"/>
        </w:rPr>
        <w:t>&gt;</w:t>
      </w:r>
      <w:r>
        <w:rPr>
          <w:spacing w:val="-2"/>
          <w:vertAlign w:val="baseline"/>
        </w:rPr>
        <w:t> </w:t>
      </w:r>
      <w:r>
        <w:rPr>
          <w:vertAlign w:val="baseline"/>
        </w:rPr>
        <w:t>0</w:t>
      </w:r>
      <w:r>
        <w:rPr>
          <w:spacing w:val="-2"/>
          <w:vertAlign w:val="baseline"/>
        </w:rPr>
        <w:t> </w:t>
      </w:r>
      <w:r>
        <w:rPr>
          <w:b/>
          <w:vertAlign w:val="baseline"/>
        </w:rPr>
        <w:t>]</w:t>
      </w:r>
      <w:r>
        <w:rPr>
          <w:b/>
          <w:spacing w:val="-1"/>
          <w:vertAlign w:val="baseline"/>
        </w:rPr>
        <w:t> </w:t>
      </w:r>
      <w:r>
        <w:rPr>
          <w:vertAlign w:val="baseline"/>
        </w:rPr>
        <w:t>P(Z</w:t>
      </w:r>
      <w:r>
        <w:rPr>
          <w:vertAlign w:val="subscript"/>
        </w:rPr>
        <w:t>i</w:t>
      </w:r>
      <w:r>
        <w:rPr>
          <w:spacing w:val="-22"/>
          <w:vertAlign w:val="baseline"/>
        </w:rPr>
        <w:t> </w:t>
      </w:r>
      <w:r>
        <w:rPr>
          <w:vertAlign w:val="baseline"/>
        </w:rPr>
        <w:t>&gt;</w:t>
      </w:r>
      <w:r>
        <w:rPr>
          <w:spacing w:val="-2"/>
          <w:vertAlign w:val="baseline"/>
        </w:rPr>
        <w:t> </w:t>
      </w:r>
      <w:r>
        <w:rPr>
          <w:vertAlign w:val="baseline"/>
        </w:rPr>
        <w:t>0)</w:t>
      </w:r>
      <w:r>
        <w:rPr>
          <w:spacing w:val="-2"/>
          <w:vertAlign w:val="baseline"/>
        </w:rPr>
        <w:t> </w:t>
      </w:r>
      <w:r>
        <w:rPr>
          <w:vertAlign w:val="baseline"/>
        </w:rPr>
        <w:t>+</w:t>
      </w:r>
      <w:r>
        <w:rPr>
          <w:spacing w:val="-2"/>
          <w:vertAlign w:val="baseline"/>
        </w:rPr>
        <w:t> </w:t>
      </w:r>
      <w:r>
        <w:rPr>
          <w:vertAlign w:val="baseline"/>
        </w:rPr>
        <w:t>P</w:t>
      </w:r>
      <w:r>
        <w:rPr>
          <w:b/>
          <w:vertAlign w:val="baseline"/>
        </w:rPr>
        <w:t>[</w:t>
      </w:r>
      <w:r>
        <w:rPr>
          <w:b/>
          <w:spacing w:val="-1"/>
          <w:vertAlign w:val="baseline"/>
        </w:rPr>
        <w:t> </w:t>
      </w:r>
      <w:r>
        <w:rPr>
          <w:vertAlign w:val="baseline"/>
        </w:rPr>
        <w:t>F</w:t>
      </w:r>
      <w:r>
        <w:rPr>
          <w:spacing w:val="-2"/>
          <w:vertAlign w:val="baseline"/>
        </w:rPr>
        <w:t> </w:t>
      </w:r>
      <w:r>
        <w:rPr>
          <w:vertAlign w:val="baseline"/>
        </w:rPr>
        <w:t>|</w:t>
      </w:r>
      <w:r>
        <w:rPr>
          <w:spacing w:val="-1"/>
          <w:vertAlign w:val="baseline"/>
        </w:rPr>
        <w:t> </w:t>
      </w:r>
      <w:r>
        <w:rPr>
          <w:vertAlign w:val="baseline"/>
        </w:rPr>
        <w:t>Z</w:t>
      </w:r>
      <w:r>
        <w:rPr>
          <w:vertAlign w:val="subscript"/>
        </w:rPr>
        <w:t>i</w:t>
      </w:r>
      <w:r>
        <w:rPr>
          <w:spacing w:val="-22"/>
          <w:vertAlign w:val="baseline"/>
        </w:rPr>
        <w:t> </w:t>
      </w:r>
      <w:r>
        <w:rPr>
          <w:vertAlign w:val="baseline"/>
        </w:rPr>
        <w:t>&lt;</w:t>
      </w:r>
      <w:r>
        <w:rPr>
          <w:spacing w:val="-2"/>
          <w:vertAlign w:val="baseline"/>
        </w:rPr>
        <w:t> </w:t>
      </w:r>
      <w:r>
        <w:rPr>
          <w:vertAlign w:val="baseline"/>
        </w:rPr>
        <w:t>0</w:t>
      </w:r>
      <w:r>
        <w:rPr>
          <w:spacing w:val="-2"/>
          <w:vertAlign w:val="baseline"/>
        </w:rPr>
        <w:t> </w:t>
      </w:r>
      <w:r>
        <w:rPr>
          <w:b/>
          <w:vertAlign w:val="baseline"/>
        </w:rPr>
        <w:t>]</w:t>
      </w:r>
      <w:r>
        <w:rPr>
          <w:b/>
          <w:spacing w:val="-1"/>
          <w:vertAlign w:val="baseline"/>
        </w:rPr>
        <w:t> </w:t>
      </w:r>
      <w:r>
        <w:rPr>
          <w:vertAlign w:val="baseline"/>
        </w:rPr>
        <w:t>P(Z</w:t>
      </w:r>
      <w:r>
        <w:rPr>
          <w:vertAlign w:val="subscript"/>
        </w:rPr>
        <w:t>i</w:t>
      </w:r>
      <w:r>
        <w:rPr>
          <w:spacing w:val="-22"/>
          <w:vertAlign w:val="baseline"/>
        </w:rPr>
        <w:t> </w:t>
      </w:r>
      <w:r>
        <w:rPr>
          <w:vertAlign w:val="baseline"/>
        </w:rPr>
        <w:t>&lt;</w:t>
      </w:r>
      <w:r>
        <w:rPr>
          <w:spacing w:val="-2"/>
          <w:vertAlign w:val="baseline"/>
        </w:rPr>
        <w:t> </w:t>
      </w:r>
      <w:r>
        <w:rPr>
          <w:vertAlign w:val="baseline"/>
        </w:rPr>
        <w:t>0)</w:t>
        <w:tab/>
        <w:t>(B13)</w:t>
      </w:r>
    </w:p>
    <w:p>
      <w:pPr>
        <w:pStyle w:val="BodyText"/>
        <w:rPr>
          <w:sz w:val="20"/>
        </w:rPr>
      </w:pPr>
    </w:p>
    <w:p>
      <w:pPr>
        <w:pStyle w:val="BodyText"/>
        <w:spacing w:before="214"/>
        <w:ind w:left="177"/>
      </w:pPr>
      <w:r>
        <w:rPr/>
        <w:t>where</w:t>
      </w:r>
    </w:p>
    <w:p>
      <w:pPr>
        <w:pStyle w:val="BodyText"/>
        <w:spacing w:before="7"/>
        <w:rPr>
          <w:sz w:val="38"/>
        </w:rPr>
      </w:pPr>
    </w:p>
    <w:p>
      <w:pPr>
        <w:pStyle w:val="BodyText"/>
        <w:tabs>
          <w:tab w:pos="897" w:val="left" w:leader="none"/>
        </w:tabs>
        <w:ind w:left="177"/>
      </w:pPr>
      <w:r>
        <w:rPr/>
        <w:t>F</w:t>
        <w:tab/>
        <w:t>=</w:t>
      </w:r>
      <w:r>
        <w:rPr>
          <w:spacing w:val="58"/>
        </w:rPr>
        <w:t> </w:t>
      </w:r>
      <w:r>
        <w:rPr/>
        <w:t>failure</w:t>
      </w:r>
    </w:p>
    <w:p>
      <w:pPr>
        <w:pStyle w:val="BodyText"/>
        <w:tabs>
          <w:tab w:pos="898" w:val="left" w:leader="none"/>
          <w:tab w:pos="1607" w:val="left" w:leader="none"/>
        </w:tabs>
        <w:spacing w:line="312" w:lineRule="auto" w:before="84"/>
        <w:ind w:left="1167" w:right="115" w:hanging="990"/>
      </w:pPr>
      <w:r>
        <w:rPr/>
        <w:t>Z</w:t>
      </w:r>
      <w:r>
        <w:rPr>
          <w:vertAlign w:val="subscript"/>
        </w:rPr>
        <w:t>i</w:t>
      </w:r>
      <w:r>
        <w:rPr>
          <w:vertAlign w:val="baseline"/>
        </w:rPr>
        <w:tab/>
        <w:t>= inspection result of inspection at time t</w:t>
      </w:r>
      <w:r>
        <w:rPr>
          <w:vertAlign w:val="subscript"/>
        </w:rPr>
        <w:t>i</w:t>
      </w:r>
      <w:r>
        <w:rPr>
          <w:vertAlign w:val="baseline"/>
        </w:rPr>
        <w:t> (negative values correspond to the detection of</w:t>
        <w:tab/>
        <w:t>damage)</w:t>
      </w:r>
    </w:p>
    <w:p>
      <w:pPr>
        <w:pStyle w:val="BodyText"/>
        <w:spacing w:before="6"/>
        <w:rPr>
          <w:sz w:val="31"/>
        </w:rPr>
      </w:pPr>
    </w:p>
    <w:p>
      <w:pPr>
        <w:pStyle w:val="BodyText"/>
        <w:spacing w:line="312" w:lineRule="auto"/>
        <w:ind w:left="177" w:right="111"/>
        <w:jc w:val="both"/>
      </w:pPr>
      <w:r>
        <w:rPr/>
        <w:t>If we assume that in the case of a serious damage revealed at the inspection (that is Z&lt;0) the structure will be repaired adequately, (B13) may be reduced to (replacing F by min</w:t>
      </w:r>
      <w:r>
        <w:rPr>
          <w:rFonts w:ascii="Arial" w:hAnsi="Arial"/>
          <w:vertAlign w:val="subscript"/>
        </w:rPr>
        <w:t>τ</w:t>
      </w:r>
      <w:r>
        <w:rPr>
          <w:rFonts w:ascii="Arial" w:hAnsi="Arial"/>
          <w:vertAlign w:val="baseline"/>
        </w:rPr>
        <w:t> </w:t>
      </w:r>
      <w:r>
        <w:rPr>
          <w:vertAlign w:val="baseline"/>
        </w:rPr>
        <w:t>g (</w:t>
      </w:r>
      <w:r>
        <w:rPr>
          <w:rFonts w:ascii="Arial" w:hAnsi="Arial"/>
          <w:vertAlign w:val="baseline"/>
        </w:rPr>
        <w:t>τ</w:t>
      </w:r>
      <w:r>
        <w:rPr>
          <w:vertAlign w:val="baseline"/>
        </w:rPr>
        <w:t>) &lt; 0, where g( ) is the limit state function and 0 &lt; </w:t>
      </w:r>
      <w:r>
        <w:rPr>
          <w:rFonts w:ascii="Arial" w:hAnsi="Arial"/>
          <w:vertAlign w:val="baseline"/>
        </w:rPr>
        <w:t>τ</w:t>
      </w:r>
      <w:r>
        <w:rPr>
          <w:vertAlign w:val="baseline"/>
        </w:rPr>
        <w:t>&lt; t):</w:t>
      </w:r>
    </w:p>
    <w:p>
      <w:pPr>
        <w:pStyle w:val="BodyText"/>
        <w:spacing w:before="4"/>
        <w:rPr>
          <w:sz w:val="31"/>
        </w:rPr>
      </w:pPr>
    </w:p>
    <w:p>
      <w:pPr>
        <w:pStyle w:val="BodyText"/>
        <w:ind w:left="886"/>
        <w:rPr>
          <w:b/>
        </w:rPr>
      </w:pPr>
      <w:r>
        <w:rPr/>
        <w:t>P</w:t>
      </w:r>
      <w:r>
        <w:rPr>
          <w:vertAlign w:val="subscript"/>
        </w:rPr>
        <w:t>F</w:t>
      </w:r>
      <w:r>
        <w:rPr>
          <w:vertAlign w:val="baseline"/>
        </w:rPr>
        <w:t>(t) = P</w:t>
      </w:r>
      <w:r>
        <w:rPr>
          <w:b/>
          <w:vertAlign w:val="baseline"/>
        </w:rPr>
        <w:t>[ </w:t>
      </w:r>
      <w:r>
        <w:rPr>
          <w:vertAlign w:val="baseline"/>
        </w:rPr>
        <w:t>min</w:t>
      </w:r>
      <w:r>
        <w:rPr>
          <w:rFonts w:ascii="Arial" w:hAnsi="Arial"/>
          <w:vertAlign w:val="subscript"/>
        </w:rPr>
        <w:t>τ</w:t>
      </w:r>
      <w:r>
        <w:rPr>
          <w:rFonts w:ascii="Arial" w:hAnsi="Arial"/>
          <w:vertAlign w:val="baseline"/>
        </w:rPr>
        <w:t> </w:t>
      </w:r>
      <w:r>
        <w:rPr>
          <w:vertAlign w:val="baseline"/>
        </w:rPr>
        <w:t>g(</w:t>
      </w:r>
      <w:r>
        <w:rPr>
          <w:rFonts w:ascii="Arial" w:hAnsi="Arial"/>
          <w:vertAlign w:val="baseline"/>
        </w:rPr>
        <w:t>τ </w:t>
      </w:r>
      <w:r>
        <w:rPr>
          <w:vertAlign w:val="baseline"/>
        </w:rPr>
        <w:t>) &lt; 0 | Z</w:t>
      </w:r>
      <w:r>
        <w:rPr>
          <w:vertAlign w:val="subscript"/>
        </w:rPr>
        <w:t>i</w:t>
      </w:r>
      <w:r>
        <w:rPr>
          <w:vertAlign w:val="baseline"/>
        </w:rPr>
        <w:t> &gt; 0 </w:t>
      </w:r>
      <w:r>
        <w:rPr>
          <w:b/>
          <w:vertAlign w:val="baseline"/>
        </w:rPr>
        <w:t>] </w:t>
      </w:r>
      <w:r>
        <w:rPr>
          <w:vertAlign w:val="baseline"/>
        </w:rPr>
        <w:t>P(Z</w:t>
      </w:r>
      <w:r>
        <w:rPr>
          <w:vertAlign w:val="subscript"/>
        </w:rPr>
        <w:t>i</w:t>
      </w:r>
      <w:r>
        <w:rPr>
          <w:vertAlign w:val="baseline"/>
        </w:rPr>
        <w:t> &gt; 0) </w:t>
      </w:r>
      <w:r>
        <w:rPr>
          <w:b/>
          <w:vertAlign w:val="baseline"/>
        </w:rPr>
        <w:t>]</w:t>
      </w:r>
    </w:p>
    <w:p>
      <w:pPr>
        <w:pStyle w:val="BodyText"/>
        <w:spacing w:before="7"/>
        <w:rPr>
          <w:b/>
          <w:sz w:val="38"/>
        </w:rPr>
      </w:pPr>
    </w:p>
    <w:p>
      <w:pPr>
        <w:pStyle w:val="BodyText"/>
        <w:ind w:left="177"/>
        <w:jc w:val="both"/>
      </w:pPr>
      <w:r>
        <w:rPr/>
        <w:t>or simply:</w:t>
      </w:r>
    </w:p>
    <w:p>
      <w:pPr>
        <w:pStyle w:val="BodyText"/>
        <w:spacing w:before="6"/>
        <w:rPr>
          <w:sz w:val="38"/>
        </w:rPr>
      </w:pPr>
    </w:p>
    <w:p>
      <w:pPr>
        <w:pStyle w:val="BodyText"/>
        <w:ind w:left="886"/>
        <w:rPr>
          <w:b/>
        </w:rPr>
      </w:pPr>
      <w:r>
        <w:rPr/>
        <w:t>P</w:t>
      </w:r>
      <w:r>
        <w:rPr>
          <w:vertAlign w:val="subscript"/>
        </w:rPr>
        <w:t>F</w:t>
      </w:r>
      <w:r>
        <w:rPr>
          <w:vertAlign w:val="baseline"/>
        </w:rPr>
        <w:t>(t) = P</w:t>
      </w:r>
      <w:r>
        <w:rPr>
          <w:b/>
          <w:vertAlign w:val="baseline"/>
        </w:rPr>
        <w:t>[ </w:t>
      </w:r>
      <w:r>
        <w:rPr>
          <w:vertAlign w:val="baseline"/>
        </w:rPr>
        <w:t>min</w:t>
      </w:r>
      <w:r>
        <w:rPr>
          <w:rFonts w:ascii="Arial" w:hAnsi="Arial"/>
          <w:vertAlign w:val="subscript"/>
        </w:rPr>
        <w:t>τ</w:t>
      </w:r>
      <w:r>
        <w:rPr>
          <w:rFonts w:ascii="Arial" w:hAnsi="Arial"/>
          <w:vertAlign w:val="baseline"/>
        </w:rPr>
        <w:t> </w:t>
      </w:r>
      <w:r>
        <w:rPr>
          <w:vertAlign w:val="baseline"/>
        </w:rPr>
        <w:t>g(</w:t>
      </w:r>
      <w:r>
        <w:rPr>
          <w:rFonts w:ascii="Arial" w:hAnsi="Arial"/>
          <w:vertAlign w:val="baseline"/>
        </w:rPr>
        <w:t>τ </w:t>
      </w:r>
      <w:r>
        <w:rPr>
          <w:vertAlign w:val="baseline"/>
        </w:rPr>
        <w:t>) &lt; 0 </w:t>
      </w:r>
      <w:r>
        <w:rPr>
          <w:rFonts w:ascii="Arial" w:hAnsi="Arial"/>
          <w:b/>
          <w:vertAlign w:val="baseline"/>
        </w:rPr>
        <w:t>∩ </w:t>
      </w:r>
      <w:r>
        <w:rPr>
          <w:vertAlign w:val="baseline"/>
        </w:rPr>
        <w:t>Z</w:t>
      </w:r>
      <w:r>
        <w:rPr>
          <w:vertAlign w:val="subscript"/>
        </w:rPr>
        <w:t>i</w:t>
      </w:r>
      <w:r>
        <w:rPr>
          <w:vertAlign w:val="baseline"/>
        </w:rPr>
        <w:t> &gt; 0 </w:t>
      </w:r>
      <w:r>
        <w:rPr>
          <w:b/>
          <w:vertAlign w:val="baseline"/>
        </w:rPr>
        <w:t>]</w:t>
      </w:r>
    </w:p>
    <w:p>
      <w:pPr>
        <w:pStyle w:val="BodyText"/>
        <w:spacing w:before="7"/>
        <w:rPr>
          <w:b/>
          <w:sz w:val="38"/>
        </w:rPr>
      </w:pPr>
    </w:p>
    <w:p>
      <w:pPr>
        <w:pStyle w:val="BodyText"/>
        <w:ind w:left="177"/>
        <w:jc w:val="both"/>
      </w:pPr>
      <w:r>
        <w:rPr/>
        <w:t>If more inspections in fixed intervals are present we arrive at:</w:t>
      </w:r>
    </w:p>
    <w:p>
      <w:pPr>
        <w:pStyle w:val="BodyText"/>
        <w:spacing w:before="6"/>
        <w:rPr>
          <w:sz w:val="38"/>
        </w:rPr>
      </w:pPr>
    </w:p>
    <w:p>
      <w:pPr>
        <w:pStyle w:val="BodyText"/>
        <w:tabs>
          <w:tab w:pos="886" w:val="left" w:leader="none"/>
          <w:tab w:pos="8687" w:val="left" w:leader="none"/>
        </w:tabs>
        <w:spacing w:line="624" w:lineRule="auto"/>
        <w:ind w:left="177" w:right="114" w:firstLine="709"/>
      </w:pPr>
      <w:r>
        <w:rPr/>
        <w:t>P</w:t>
      </w:r>
      <w:r>
        <w:rPr>
          <w:vertAlign w:val="subscript"/>
        </w:rPr>
        <w:t>F</w:t>
      </w:r>
      <w:r>
        <w:rPr>
          <w:vertAlign w:val="baseline"/>
        </w:rPr>
        <w:t>(t) = P </w:t>
      </w:r>
      <w:r>
        <w:rPr>
          <w:b/>
          <w:vertAlign w:val="baseline"/>
        </w:rPr>
        <w:t>[ </w:t>
      </w:r>
      <w:r>
        <w:rPr>
          <w:vertAlign w:val="baseline"/>
        </w:rPr>
        <w:t>min</w:t>
      </w:r>
      <w:r>
        <w:rPr>
          <w:rFonts w:ascii="Arial" w:hAnsi="Arial"/>
          <w:vertAlign w:val="subscript"/>
        </w:rPr>
        <w:t>τ</w:t>
      </w:r>
      <w:r>
        <w:rPr>
          <w:rFonts w:ascii="Arial" w:hAnsi="Arial"/>
          <w:vertAlign w:val="baseline"/>
        </w:rPr>
        <w:t> </w:t>
      </w:r>
      <w:r>
        <w:rPr>
          <w:vertAlign w:val="baseline"/>
        </w:rPr>
        <w:t>g(</w:t>
      </w:r>
      <w:r>
        <w:rPr>
          <w:b/>
          <w:vertAlign w:val="baseline"/>
        </w:rPr>
        <w:t>x</w:t>
      </w:r>
      <w:r>
        <w:rPr>
          <w:vertAlign w:val="baseline"/>
        </w:rPr>
        <w:t>(</w:t>
      </w:r>
      <w:r>
        <w:rPr>
          <w:rFonts w:ascii="Arial" w:hAnsi="Arial"/>
          <w:vertAlign w:val="baseline"/>
        </w:rPr>
        <w:t>τ</w:t>
      </w:r>
      <w:r>
        <w:rPr>
          <w:vertAlign w:val="baseline"/>
        </w:rPr>
        <w:t>);</w:t>
      </w:r>
      <w:r>
        <w:rPr>
          <w:rFonts w:ascii="Arial" w:hAnsi="Arial"/>
          <w:vertAlign w:val="baseline"/>
        </w:rPr>
        <w:t>τ</w:t>
      </w:r>
      <w:r>
        <w:rPr>
          <w:vertAlign w:val="baseline"/>
        </w:rPr>
        <w:t>) &lt; 0   </w:t>
      </w:r>
      <w:r>
        <w:rPr>
          <w:rFonts w:ascii="Arial" w:hAnsi="Arial"/>
          <w:b/>
          <w:vertAlign w:val="baseline"/>
        </w:rPr>
        <w:t>∩   </w:t>
      </w:r>
      <w:r>
        <w:rPr>
          <w:vertAlign w:val="baseline"/>
        </w:rPr>
        <w:t>{</w:t>
      </w:r>
      <w:r>
        <w:rPr>
          <w:rFonts w:ascii="Arial" w:hAnsi="Arial"/>
          <w:vertAlign w:val="baseline"/>
        </w:rPr>
        <w:t>∩</w:t>
      </w:r>
      <w:r>
        <w:rPr>
          <w:vertAlign w:val="baseline"/>
        </w:rPr>
        <w:t>Z</w:t>
      </w:r>
      <w:r>
        <w:rPr>
          <w:vertAlign w:val="subscript"/>
        </w:rPr>
        <w:t>i</w:t>
      </w:r>
      <w:r>
        <w:rPr>
          <w:vertAlign w:val="baseline"/>
        </w:rPr>
        <w:t>(</w:t>
      </w:r>
      <w:r>
        <w:rPr>
          <w:b/>
          <w:vertAlign w:val="baseline"/>
        </w:rPr>
        <w:t>x</w:t>
      </w:r>
      <w:r>
        <w:rPr>
          <w:vertAlign w:val="baseline"/>
        </w:rPr>
        <w:t>(t</w:t>
      </w:r>
      <w:r>
        <w:rPr>
          <w:vertAlign w:val="subscript"/>
        </w:rPr>
        <w:t>i</w:t>
      </w:r>
      <w:r>
        <w:rPr>
          <w:vertAlign w:val="baseline"/>
        </w:rPr>
        <w:t>);t</w:t>
      </w:r>
      <w:r>
        <w:rPr>
          <w:vertAlign w:val="subscript"/>
        </w:rPr>
        <w:t>i</w:t>
      </w:r>
      <w:r>
        <w:rPr>
          <w:vertAlign w:val="baseline"/>
        </w:rPr>
        <w:t>) } &gt; 0  for 0 &lt; </w:t>
      </w:r>
      <w:r>
        <w:rPr>
          <w:rFonts w:ascii="Arial" w:hAnsi="Arial"/>
          <w:vertAlign w:val="baseline"/>
        </w:rPr>
        <w:t>τ </w:t>
      </w:r>
      <w:r>
        <w:rPr>
          <w:vertAlign w:val="baseline"/>
        </w:rPr>
        <w:t>&lt;</w:t>
      </w:r>
      <w:r>
        <w:rPr>
          <w:spacing w:val="-18"/>
          <w:vertAlign w:val="baseline"/>
        </w:rPr>
        <w:t> </w:t>
      </w:r>
      <w:r>
        <w:rPr>
          <w:vertAlign w:val="baseline"/>
        </w:rPr>
        <w:t>t</w:t>
      </w:r>
      <w:r>
        <w:rPr>
          <w:spacing w:val="1"/>
          <w:vertAlign w:val="baseline"/>
        </w:rPr>
        <w:t> </w:t>
      </w:r>
      <w:r>
        <w:rPr>
          <w:b/>
          <w:vertAlign w:val="baseline"/>
        </w:rPr>
        <w:t>]</w:t>
        <w:tab/>
      </w:r>
      <w:r>
        <w:rPr>
          <w:vertAlign w:val="baseline"/>
        </w:rPr>
        <w:t>(B14) t</w:t>
      </w:r>
      <w:r>
        <w:rPr>
          <w:vertAlign w:val="subscript"/>
        </w:rPr>
        <w:t>i</w:t>
      </w:r>
      <w:r>
        <w:rPr>
          <w:vertAlign w:val="baseline"/>
        </w:rPr>
        <w:tab/>
        <w:t>= time of inspection; only inspections with t</w:t>
      </w:r>
      <w:r>
        <w:rPr>
          <w:vertAlign w:val="subscript"/>
        </w:rPr>
        <w:t>i</w:t>
      </w:r>
      <w:r>
        <w:rPr>
          <w:vertAlign w:val="baseline"/>
        </w:rPr>
        <w:t> &lt; </w:t>
      </w:r>
      <w:r>
        <w:rPr>
          <w:rFonts w:ascii="Arial" w:hAnsi="Arial"/>
          <w:vertAlign w:val="baseline"/>
        </w:rPr>
        <w:t>τ </w:t>
      </w:r>
      <w:r>
        <w:rPr>
          <w:vertAlign w:val="baseline"/>
        </w:rPr>
        <w:t>are</w:t>
      </w:r>
      <w:r>
        <w:rPr>
          <w:spacing w:val="-30"/>
          <w:vertAlign w:val="baseline"/>
        </w:rPr>
        <w:t> </w:t>
      </w:r>
      <w:r>
        <w:rPr>
          <w:vertAlign w:val="baseline"/>
        </w:rPr>
        <w:t>relevant</w:t>
      </w:r>
    </w:p>
    <w:p>
      <w:pPr>
        <w:pStyle w:val="BodyText"/>
        <w:spacing w:before="4"/>
        <w:ind w:left="177"/>
      </w:pPr>
      <w:r>
        <w:rPr/>
        <w:t>Note: whether or not an inspection is planned, of course, is a matter of economy.</w:t>
      </w:r>
    </w:p>
    <w:p>
      <w:pPr>
        <w:pStyle w:val="BodyText"/>
        <w:rPr>
          <w:sz w:val="26"/>
        </w:rPr>
      </w:pPr>
    </w:p>
    <w:p>
      <w:pPr>
        <w:pStyle w:val="Heading2"/>
        <w:numPr>
          <w:ilvl w:val="1"/>
          <w:numId w:val="2"/>
        </w:numPr>
        <w:tabs>
          <w:tab w:pos="969" w:val="left" w:leader="none"/>
          <w:tab w:pos="970" w:val="left" w:leader="none"/>
        </w:tabs>
        <w:spacing w:line="240" w:lineRule="auto" w:before="188" w:after="0"/>
        <w:ind w:left="969" w:right="0" w:hanging="792"/>
        <w:jc w:val="left"/>
      </w:pPr>
      <w:bookmarkStart w:name="_TOC_250012" w:id="38"/>
      <w:bookmarkEnd w:id="38"/>
      <w:r>
        <w:rPr/>
        <w:t>Example</w:t>
      </w:r>
    </w:p>
    <w:p>
      <w:pPr>
        <w:pStyle w:val="BodyText"/>
        <w:spacing w:line="312" w:lineRule="auto" w:before="202"/>
        <w:ind w:left="177" w:right="191"/>
      </w:pPr>
      <w:r>
        <w:rPr/>
        <w:t>Figure B5 clarifies formula (B14) for the case of fatigue. As discussed before, the g-function for the situation at the load cycle at time </w:t>
      </w:r>
      <w:r>
        <w:rPr>
          <w:rFonts w:ascii="Arial" w:hAnsi="Arial"/>
        </w:rPr>
        <w:t>τ </w:t>
      </w:r>
      <w:r>
        <w:rPr/>
        <w:t>is given by:</w:t>
      </w:r>
    </w:p>
    <w:p>
      <w:pPr>
        <w:pStyle w:val="BodyText"/>
        <w:spacing w:before="4"/>
        <w:rPr>
          <w:sz w:val="31"/>
        </w:rPr>
      </w:pPr>
    </w:p>
    <w:p>
      <w:pPr>
        <w:pStyle w:val="BodyText"/>
        <w:spacing w:before="1"/>
        <w:ind w:left="886"/>
      </w:pPr>
      <w:r>
        <w:rPr/>
        <w:t>g = a</w:t>
      </w:r>
      <w:r>
        <w:rPr>
          <w:vertAlign w:val="subscript"/>
        </w:rPr>
        <w:t>cr</w:t>
      </w:r>
      <w:r>
        <w:rPr>
          <w:vertAlign w:val="baseline"/>
        </w:rPr>
        <w:t> - a(t)</w:t>
      </w:r>
    </w:p>
    <w:p>
      <w:pPr>
        <w:pStyle w:val="BodyText"/>
        <w:spacing w:before="5"/>
        <w:rPr>
          <w:sz w:val="38"/>
        </w:rPr>
      </w:pPr>
    </w:p>
    <w:p>
      <w:pPr>
        <w:pStyle w:val="BodyText"/>
        <w:spacing w:line="312" w:lineRule="auto" w:before="1"/>
        <w:ind w:left="177" w:right="112"/>
        <w:jc w:val="both"/>
      </w:pPr>
      <w:r>
        <w:rPr/>
        <w:t>Let the crack a(</w:t>
      </w:r>
      <w:r>
        <w:rPr>
          <w:rFonts w:ascii="Arial" w:hAnsi="Arial"/>
        </w:rPr>
        <w:t>τ</w:t>
      </w:r>
      <w:r>
        <w:rPr/>
        <w:t>) be monitored by a yearly inspection. If the measured crack a</w:t>
      </w:r>
      <w:r>
        <w:rPr>
          <w:vertAlign w:val="subscript"/>
        </w:rPr>
        <w:t>m</w:t>
      </w:r>
      <w:r>
        <w:rPr>
          <w:vertAlign w:val="baseline"/>
        </w:rPr>
        <w:t> is larger that some limit a</w:t>
      </w:r>
      <w:r>
        <w:rPr>
          <w:vertAlign w:val="subscript"/>
        </w:rPr>
        <w:t>lim</w:t>
      </w:r>
      <w:r>
        <w:rPr>
          <w:vertAlign w:val="baseline"/>
        </w:rPr>
        <w:t> the structure will be adequately repaired. An inspection failure may then be modelled as Z</w:t>
      </w:r>
      <w:r>
        <w:rPr>
          <w:vertAlign w:val="subscript"/>
        </w:rPr>
        <w:t>ins</w:t>
      </w:r>
      <w:r>
        <w:rPr>
          <w:vertAlign w:val="baseline"/>
        </w:rPr>
        <w:t> &lt; 0 with:</w:t>
      </w:r>
    </w:p>
    <w:p>
      <w:pPr>
        <w:pStyle w:val="BodyText"/>
        <w:spacing w:before="7"/>
        <w:rPr>
          <w:sz w:val="31"/>
        </w:rPr>
      </w:pPr>
    </w:p>
    <w:p>
      <w:pPr>
        <w:spacing w:before="0"/>
        <w:ind w:left="886" w:right="0" w:firstLine="0"/>
        <w:jc w:val="left"/>
        <w:rPr>
          <w:sz w:val="24"/>
        </w:rPr>
      </w:pPr>
      <w:r>
        <w:rPr>
          <w:position w:val="3"/>
          <w:sz w:val="24"/>
        </w:rPr>
        <w:t>Z</w:t>
      </w:r>
      <w:r>
        <w:rPr>
          <w:sz w:val="16"/>
        </w:rPr>
        <w:t>ins </w:t>
      </w:r>
      <w:r>
        <w:rPr>
          <w:position w:val="3"/>
          <w:sz w:val="24"/>
        </w:rPr>
        <w:t>= a</w:t>
      </w:r>
      <w:r>
        <w:rPr>
          <w:sz w:val="16"/>
        </w:rPr>
        <w:t>lim </w:t>
      </w:r>
      <w:r>
        <w:rPr>
          <w:position w:val="3"/>
          <w:sz w:val="24"/>
        </w:rPr>
        <w:t>- a</w:t>
      </w:r>
      <w:r>
        <w:rPr>
          <w:sz w:val="16"/>
        </w:rPr>
        <w:t>m </w:t>
      </w:r>
      <w:r>
        <w:rPr>
          <w:position w:val="3"/>
          <w:sz w:val="24"/>
        </w:rPr>
        <w:t>(t</w:t>
      </w:r>
      <w:r>
        <w:rPr>
          <w:sz w:val="16"/>
        </w:rPr>
        <w:t>i</w:t>
      </w:r>
      <w:r>
        <w:rPr>
          <w:position w:val="3"/>
          <w:sz w:val="24"/>
        </w:rPr>
        <w:t>)</w:t>
      </w:r>
    </w:p>
    <w:p>
      <w:pPr>
        <w:spacing w:after="0"/>
        <w:jc w:val="left"/>
        <w:rPr>
          <w:sz w:val="24"/>
        </w:rPr>
        <w:sectPr>
          <w:pgSz w:w="11910" w:h="16840"/>
          <w:pgMar w:header="0" w:footer="788" w:top="1600" w:bottom="980" w:left="1240" w:right="1300"/>
        </w:sectPr>
      </w:pPr>
    </w:p>
    <w:p>
      <w:pPr>
        <w:pStyle w:val="BodyText"/>
        <w:rPr>
          <w:sz w:val="20"/>
        </w:rPr>
      </w:pPr>
    </w:p>
    <w:p>
      <w:pPr>
        <w:pStyle w:val="BodyText"/>
        <w:spacing w:before="11"/>
        <w:rPr>
          <w:sz w:val="27"/>
        </w:rPr>
      </w:pPr>
    </w:p>
    <w:p>
      <w:pPr>
        <w:pStyle w:val="BodyText"/>
        <w:spacing w:line="312" w:lineRule="auto" w:before="90"/>
        <w:ind w:left="177" w:right="112" w:hanging="1"/>
        <w:jc w:val="both"/>
      </w:pPr>
      <w:r>
        <w:rPr/>
        <w:t>In present practice a</w:t>
      </w:r>
      <w:r>
        <w:rPr>
          <w:vertAlign w:val="subscript"/>
        </w:rPr>
        <w:t>lim</w:t>
      </w:r>
      <w:r>
        <w:rPr>
          <w:vertAlign w:val="baseline"/>
        </w:rPr>
        <w:t> usually corresponds to the detection limit and the probability distribution for a</w:t>
      </w:r>
      <w:r>
        <w:rPr>
          <w:vertAlign w:val="subscript"/>
        </w:rPr>
        <w:t>lim</w:t>
      </w:r>
      <w:r>
        <w:rPr>
          <w:vertAlign w:val="baseline"/>
        </w:rPr>
        <w:t> is then equal to the so called POD-curve (probability of detection).</w:t>
      </w:r>
    </w:p>
    <w:p>
      <w:pPr>
        <w:pStyle w:val="BodyText"/>
        <w:spacing w:before="6"/>
        <w:rPr>
          <w:sz w:val="31"/>
        </w:rPr>
      </w:pPr>
    </w:p>
    <w:p>
      <w:pPr>
        <w:pStyle w:val="BodyText"/>
        <w:spacing w:line="312" w:lineRule="auto"/>
        <w:ind w:left="177" w:right="112"/>
        <w:jc w:val="both"/>
      </w:pPr>
      <w:r>
        <w:rPr/>
        <w:t>Failure will occur only if the measured value a</w:t>
      </w:r>
      <w:r>
        <w:rPr>
          <w:vertAlign w:val="subscript"/>
        </w:rPr>
        <w:t>m</w:t>
      </w:r>
      <w:r>
        <w:rPr>
          <w:vertAlign w:val="baseline"/>
        </w:rPr>
        <w:t>(t</w:t>
      </w:r>
      <w:r>
        <w:rPr>
          <w:vertAlign w:val="subscript"/>
        </w:rPr>
        <w:t>ins</w:t>
      </w:r>
      <w:r>
        <w:rPr>
          <w:vertAlign w:val="baseline"/>
        </w:rPr>
        <w:t>) is below the limit value a</w:t>
      </w:r>
      <w:r>
        <w:rPr>
          <w:vertAlign w:val="subscript"/>
        </w:rPr>
        <w:t>lim</w:t>
      </w:r>
      <w:r>
        <w:rPr>
          <w:vertAlign w:val="baseline"/>
        </w:rPr>
        <w:t> at inspection t</w:t>
      </w:r>
      <w:r>
        <w:rPr>
          <w:vertAlign w:val="subscript"/>
        </w:rPr>
        <w:t>i</w:t>
      </w:r>
      <w:r>
        <w:rPr>
          <w:vertAlign w:val="baseline"/>
        </w:rPr>
        <w:t> but above the a</w:t>
      </w:r>
      <w:r>
        <w:rPr>
          <w:vertAlign w:val="subscript"/>
        </w:rPr>
        <w:t>crit</w:t>
      </w:r>
      <w:r>
        <w:rPr>
          <w:vertAlign w:val="baseline"/>
        </w:rPr>
        <w:t> before the next inspection. This way failure probability can be reduced by shorter inspection intervals or by more refined or accurate inspection techniques.</w:t>
      </w:r>
    </w:p>
    <w:p>
      <w:pPr>
        <w:pStyle w:val="BodyText"/>
        <w:spacing w:before="7"/>
        <w:rPr>
          <w:sz w:val="31"/>
        </w:rPr>
      </w:pPr>
    </w:p>
    <w:p>
      <w:pPr>
        <w:pStyle w:val="BodyText"/>
        <w:spacing w:line="312" w:lineRule="auto"/>
        <w:ind w:left="177" w:right="110"/>
        <w:jc w:val="both"/>
      </w:pPr>
      <w:r>
        <w:rPr/>
        <w:t>Note that an implication of this method is that these Probability of Detection curves (POD curves) and measurement accuracy’s must be known to the designer in order to decide whether or not a certain structure meets the reliability requirements. Note further that the probability of repair is given</w:t>
      </w:r>
      <w:r>
        <w:rPr>
          <w:spacing w:val="-5"/>
        </w:rPr>
        <w:t> </w:t>
      </w:r>
      <w:r>
        <w:rPr/>
        <w:t>by:</w:t>
      </w:r>
    </w:p>
    <w:p>
      <w:pPr>
        <w:pStyle w:val="BodyText"/>
        <w:spacing w:before="9"/>
        <w:rPr>
          <w:sz w:val="31"/>
        </w:rPr>
      </w:pPr>
    </w:p>
    <w:p>
      <w:pPr>
        <w:pStyle w:val="BodyText"/>
        <w:ind w:left="886"/>
      </w:pPr>
      <w:r>
        <w:rPr/>
        <w:t>P = P[Z</w:t>
      </w:r>
      <w:r>
        <w:rPr>
          <w:vertAlign w:val="subscript"/>
        </w:rPr>
        <w:t>ins</w:t>
      </w:r>
      <w:r>
        <w:rPr>
          <w:vertAlign w:val="baseline"/>
        </w:rPr>
        <w:t> &lt; 0]</w:t>
      </w:r>
    </w:p>
    <w:p>
      <w:pPr>
        <w:pStyle w:val="BodyText"/>
        <w:spacing w:before="7"/>
        <w:rPr>
          <w:sz w:val="38"/>
        </w:rPr>
      </w:pPr>
    </w:p>
    <w:p>
      <w:pPr>
        <w:pStyle w:val="BodyText"/>
        <w:spacing w:line="312" w:lineRule="auto"/>
        <w:ind w:left="177" w:right="112"/>
        <w:jc w:val="both"/>
      </w:pPr>
      <w:r>
        <w:rPr/>
        <w:t>Repair may be considered like some serviceability limit state. The designer should also make sure that the probability of repair is below some economic limit value.</w:t>
      </w:r>
    </w:p>
    <w:p>
      <w:pPr>
        <w:pStyle w:val="BodyText"/>
        <w:rPr>
          <w:sz w:val="26"/>
        </w:rPr>
      </w:pPr>
    </w:p>
    <w:p>
      <w:pPr>
        <w:pStyle w:val="BodyText"/>
        <w:rPr>
          <w:sz w:val="26"/>
        </w:rPr>
      </w:pPr>
    </w:p>
    <w:p>
      <w:pPr>
        <w:pStyle w:val="BodyText"/>
        <w:rPr>
          <w:sz w:val="26"/>
        </w:rPr>
      </w:pPr>
    </w:p>
    <w:p>
      <w:pPr>
        <w:pStyle w:val="BodyText"/>
        <w:rPr>
          <w:sz w:val="26"/>
        </w:rPr>
      </w:pPr>
    </w:p>
    <w:p>
      <w:pPr>
        <w:pStyle w:val="BodyText"/>
        <w:spacing w:before="5"/>
        <w:rPr>
          <w:sz w:val="29"/>
        </w:rPr>
      </w:pPr>
    </w:p>
    <w:p>
      <w:pPr>
        <w:spacing w:before="0"/>
        <w:ind w:left="1775" w:right="0" w:firstLine="0"/>
        <w:jc w:val="left"/>
        <w:rPr>
          <w:b/>
          <w:sz w:val="22"/>
        </w:rPr>
      </w:pPr>
      <w:r>
        <w:rPr/>
        <w:pict>
          <v:shape style="position:absolute;margin-left:0pt;margin-top:327.869843pt;width:61.2pt;height:71.5pt;mso-position-horizontal-relative:page;mso-position-vertical-relative:paragraph;z-index:1936" coordorigin="0,6557" coordsize="1224,1430" path="m1724,822l2948,73m1724,822l2948,1503e" filled="false" stroked="true" strokeweight=".72pt" strokecolor="#000000">
            <v:path arrowok="t"/>
            <v:stroke dashstyle="solid"/>
            <w10:wrap type="none"/>
          </v:shape>
        </w:pict>
      </w:r>
      <w:r>
        <w:rPr>
          <w:b/>
          <w:w w:val="100"/>
          <w:sz w:val="22"/>
        </w:rPr>
        <w:t>F</w:t>
      </w:r>
    </w:p>
    <w:p>
      <w:pPr>
        <w:pStyle w:val="BodyText"/>
        <w:rPr>
          <w:b/>
        </w:rPr>
      </w:pPr>
    </w:p>
    <w:p>
      <w:pPr>
        <w:pStyle w:val="BodyText"/>
        <w:spacing w:before="11"/>
        <w:rPr>
          <w:b/>
          <w:sz w:val="19"/>
        </w:rPr>
      </w:pPr>
    </w:p>
    <w:p>
      <w:pPr>
        <w:tabs>
          <w:tab w:pos="3259" w:val="left" w:leader="none"/>
        </w:tabs>
        <w:spacing w:before="0"/>
        <w:ind w:left="342" w:right="0" w:firstLine="0"/>
        <w:jc w:val="left"/>
        <w:rPr>
          <w:b/>
          <w:sz w:val="22"/>
        </w:rPr>
      </w:pPr>
      <w:r>
        <w:rPr/>
        <w:pict>
          <v:group style="position:absolute;margin-left:150.651917pt;margin-top:6.190045pt;width:85.55pt;height:72.2pt;mso-position-horizontal-relative:page;mso-position-vertical-relative:paragraph;z-index:-58048" coordorigin="3013,124" coordsize="1711,1444">
            <v:line style="position:absolute" from="3220,881" to="4445,881" stroked="true" strokeweight=".72pt" strokecolor="#000000">
              <v:stroke dashstyle="solid"/>
            </v:line>
            <v:shape style="position:absolute;left:0;top:5797;width:1224;height:1430" coordorigin="0,5798" coordsize="1224,1430" path="m3152,881l4376,131m3152,881l4376,1560e" filled="false" stroked="true" strokeweight=".72pt" strokecolor="#000000">
              <v:path arrowok="t"/>
              <v:stroke dashstyle="solid"/>
            </v:shape>
            <v:shape style="position:absolute;left:3013;top:770;width:177;height:245" type="#_x0000_t202" filled="false" stroked="false">
              <v:textbox inset="0,0,0,0">
                <w:txbxContent>
                  <w:p>
                    <w:pPr>
                      <w:spacing w:line="245" w:lineRule="exact" w:before="0"/>
                      <w:ind w:left="0" w:right="0" w:firstLine="0"/>
                      <w:jc w:val="left"/>
                      <w:rPr>
                        <w:b/>
                        <w:sz w:val="22"/>
                      </w:rPr>
                    </w:pPr>
                    <w:r>
                      <w:rPr>
                        <w:b/>
                        <w:position w:val="1"/>
                        <w:sz w:val="22"/>
                      </w:rPr>
                      <w:t>I</w:t>
                    </w:r>
                    <w:r>
                      <w:rPr>
                        <w:b/>
                        <w:position w:val="1"/>
                        <w:sz w:val="22"/>
                        <w:vertAlign w:val="subscript"/>
                      </w:rPr>
                      <w:t>1</w:t>
                    </w:r>
                  </w:p>
                </w:txbxContent>
              </v:textbox>
              <w10:wrap type="none"/>
            </v:shape>
            <v:shape style="position:absolute;left:4544;top:770;width:180;height:245" type="#_x0000_t202" filled="false" stroked="false">
              <v:textbox inset="0,0,0,0">
                <w:txbxContent>
                  <w:p>
                    <w:pPr>
                      <w:spacing w:line="244" w:lineRule="exact" w:before="0"/>
                      <w:ind w:left="0" w:right="0" w:firstLine="0"/>
                      <w:jc w:val="left"/>
                      <w:rPr>
                        <w:b/>
                        <w:sz w:val="22"/>
                      </w:rPr>
                    </w:pPr>
                    <w:r>
                      <w:rPr>
                        <w:b/>
                        <w:w w:val="100"/>
                        <w:sz w:val="22"/>
                      </w:rPr>
                      <w:t>R</w:t>
                    </w:r>
                  </w:p>
                </w:txbxContent>
              </v:textbox>
              <w10:wrap type="none"/>
            </v:shape>
            <w10:wrap type="none"/>
          </v:group>
        </w:pict>
      </w:r>
      <w:r>
        <w:rPr>
          <w:b/>
          <w:sz w:val="22"/>
        </w:rPr>
        <w:t>0</w:t>
        <w:tab/>
        <w:t>F</w:t>
      </w:r>
    </w:p>
    <w:p>
      <w:pPr>
        <w:pStyle w:val="BodyText"/>
        <w:rPr>
          <w:b/>
          <w:sz w:val="20"/>
        </w:rPr>
      </w:pPr>
    </w:p>
    <w:p>
      <w:pPr>
        <w:pStyle w:val="BodyText"/>
        <w:spacing w:before="3"/>
        <w:rPr>
          <w:b/>
          <w:sz w:val="16"/>
        </w:rPr>
      </w:pPr>
    </w:p>
    <w:p>
      <w:pPr>
        <w:spacing w:before="92"/>
        <w:ind w:left="342" w:right="0" w:firstLine="0"/>
        <w:jc w:val="center"/>
        <w:rPr>
          <w:b/>
          <w:sz w:val="22"/>
        </w:rPr>
      </w:pPr>
      <w:r>
        <w:rPr/>
        <w:pict>
          <v:group style="position:absolute;margin-left:232.080002pt;margin-top:10.189825pt;width:65.05pt;height:72.150pt;mso-position-horizontal-relative:page;mso-position-vertical-relative:paragraph;z-index:-58120" coordorigin="4642,204" coordsize="1301,1443">
            <v:line style="position:absolute" from="4718,960" to="5942,960" stroked="true" strokeweight=".72pt" strokecolor="#000000">
              <v:stroke dashstyle="solid"/>
            </v:line>
            <v:shape style="position:absolute;left:0;top:5128;width:1224;height:1428" coordorigin="0,5129" coordsize="1224,1428" path="m4649,960l5873,211m4649,960l5873,1639e" filled="false" stroked="true" strokeweight=".72pt" strokecolor="#000000">
              <v:path arrowok="t"/>
              <v:stroke dashstyle="solid"/>
            </v:shape>
            <w10:wrap type="none"/>
          </v:group>
        </w:pict>
      </w:r>
      <w:r>
        <w:rPr>
          <w:b/>
          <w:w w:val="100"/>
          <w:sz w:val="22"/>
        </w:rPr>
        <w:t>F</w:t>
      </w:r>
    </w:p>
    <w:p>
      <w:pPr>
        <w:pStyle w:val="BodyText"/>
        <w:rPr>
          <w:b/>
        </w:rPr>
      </w:pPr>
    </w:p>
    <w:p>
      <w:pPr>
        <w:pStyle w:val="BodyText"/>
        <w:rPr>
          <w:b/>
          <w:sz w:val="20"/>
        </w:rPr>
      </w:pPr>
    </w:p>
    <w:p>
      <w:pPr>
        <w:tabs>
          <w:tab w:pos="1531" w:val="left" w:leader="none"/>
        </w:tabs>
        <w:spacing w:before="0"/>
        <w:ind w:left="0" w:right="1152" w:firstLine="0"/>
        <w:jc w:val="center"/>
        <w:rPr>
          <w:b/>
          <w:sz w:val="22"/>
        </w:rPr>
      </w:pPr>
      <w:r>
        <w:rPr>
          <w:b/>
          <w:position w:val="1"/>
          <w:sz w:val="22"/>
        </w:rPr>
        <w:t>I</w:t>
      </w:r>
      <w:r>
        <w:rPr>
          <w:b/>
          <w:position w:val="1"/>
          <w:sz w:val="22"/>
          <w:vertAlign w:val="subscript"/>
        </w:rPr>
        <w:t>2</w:t>
      </w:r>
      <w:r>
        <w:rPr>
          <w:b/>
          <w:position w:val="1"/>
          <w:sz w:val="22"/>
          <w:vertAlign w:val="baseline"/>
        </w:rPr>
        <w:tab/>
        <w:t>R</w:t>
      </w:r>
    </w:p>
    <w:p>
      <w:pPr>
        <w:pStyle w:val="BodyText"/>
        <w:rPr>
          <w:b/>
        </w:rPr>
      </w:pPr>
    </w:p>
    <w:p>
      <w:pPr>
        <w:pStyle w:val="BodyText"/>
        <w:spacing w:before="1"/>
        <w:rPr>
          <w:b/>
          <w:sz w:val="19"/>
        </w:rPr>
      </w:pPr>
    </w:p>
    <w:p>
      <w:pPr>
        <w:spacing w:before="0"/>
        <w:ind w:left="498" w:right="216" w:firstLine="0"/>
        <w:jc w:val="center"/>
        <w:rPr>
          <w:b/>
          <w:sz w:val="22"/>
        </w:rPr>
      </w:pPr>
      <w:r>
        <w:rPr>
          <w:b/>
          <w:position w:val="1"/>
          <w:sz w:val="22"/>
        </w:rPr>
        <w:t>I</w:t>
      </w:r>
      <w:r>
        <w:rPr>
          <w:b/>
          <w:position w:val="1"/>
          <w:sz w:val="22"/>
          <w:vertAlign w:val="subscript"/>
        </w:rPr>
        <w:t>3</w:t>
      </w:r>
    </w:p>
    <w:p>
      <w:pPr>
        <w:pStyle w:val="BodyText"/>
        <w:rPr>
          <w:b/>
          <w:sz w:val="20"/>
        </w:rPr>
      </w:pPr>
    </w:p>
    <w:p>
      <w:pPr>
        <w:pStyle w:val="BodyText"/>
        <w:rPr>
          <w:b/>
          <w:sz w:val="20"/>
        </w:rPr>
      </w:pPr>
    </w:p>
    <w:p>
      <w:pPr>
        <w:pStyle w:val="BodyText"/>
        <w:spacing w:before="11"/>
        <w:rPr>
          <w:b/>
          <w:sz w:val="17"/>
        </w:rPr>
      </w:pPr>
    </w:p>
    <w:p>
      <w:pPr>
        <w:spacing w:line="312" w:lineRule="auto" w:before="90"/>
        <w:ind w:left="177" w:right="0" w:firstLine="0"/>
        <w:jc w:val="left"/>
        <w:rPr>
          <w:i/>
          <w:sz w:val="24"/>
        </w:rPr>
      </w:pPr>
      <w:r>
        <w:rPr>
          <w:i/>
          <w:sz w:val="24"/>
        </w:rPr>
        <w:t>Figure B4: Event tree representation of an inspected component: R = Repair or maintenance action;</w:t>
      </w:r>
    </w:p>
    <w:p>
      <w:pPr>
        <w:spacing w:before="3"/>
        <w:ind w:left="177" w:right="0" w:firstLine="0"/>
        <w:jc w:val="left"/>
        <w:rPr>
          <w:i/>
          <w:sz w:val="24"/>
        </w:rPr>
      </w:pPr>
      <w:r>
        <w:rPr>
          <w:i/>
          <w:sz w:val="24"/>
        </w:rPr>
        <w:t>F = Failure, I</w:t>
      </w:r>
      <w:r>
        <w:rPr>
          <w:i/>
          <w:sz w:val="24"/>
          <w:vertAlign w:val="subscript"/>
        </w:rPr>
        <w:t>i</w:t>
      </w:r>
      <w:r>
        <w:rPr>
          <w:i/>
          <w:sz w:val="24"/>
          <w:vertAlign w:val="baseline"/>
        </w:rPr>
        <w:t> = Inspection at time t</w:t>
      </w:r>
      <w:r>
        <w:rPr>
          <w:i/>
          <w:sz w:val="24"/>
          <w:vertAlign w:val="subscript"/>
        </w:rPr>
        <w:t>i</w:t>
      </w:r>
    </w:p>
    <w:p>
      <w:pPr>
        <w:spacing w:after="0"/>
        <w:jc w:val="left"/>
        <w:rPr>
          <w:sz w:val="24"/>
        </w:rPr>
        <w:sectPr>
          <w:pgSz w:w="11910" w:h="16840"/>
          <w:pgMar w:header="0" w:footer="788" w:top="1600" w:bottom="980" w:left="1240" w:right="1300"/>
        </w:sectPr>
      </w:pPr>
    </w:p>
    <w:p>
      <w:pPr>
        <w:pStyle w:val="BodyText"/>
        <w:spacing w:before="11"/>
        <w:rPr>
          <w:i/>
          <w:sz w:val="26"/>
        </w:rPr>
      </w:pPr>
    </w:p>
    <w:p>
      <w:pPr>
        <w:pStyle w:val="BodyText"/>
        <w:ind w:left="545"/>
        <w:rPr>
          <w:sz w:val="20"/>
        </w:rPr>
      </w:pPr>
      <w:r>
        <w:rPr>
          <w:sz w:val="20"/>
        </w:rPr>
        <w:pict>
          <v:group style="width:342.9pt;height:182.9pt;mso-position-horizontal-relative:char;mso-position-vertical-relative:line" coordorigin="0,0" coordsize="6858,3658">
            <v:line style="position:absolute" from="20,0" to="20,3658" stroked="true" strokeweight=".96pt" strokecolor="#000000">
              <v:stroke dashstyle="solid"/>
            </v:line>
            <v:line style="position:absolute" from="20,3614" to="6757,3614" stroked="true" strokeweight=".96pt" strokecolor="#000000">
              <v:stroke dashstyle="solid"/>
            </v:line>
            <v:line style="position:absolute" from="20,2484" to="6757,2484" stroked="true" strokeweight=".96pt" strokecolor="#000000">
              <v:stroke dashstyle="solid"/>
            </v:line>
            <v:line style="position:absolute" from="20,1128" to="6757,1128" stroked="true" strokeweight=".96pt" strokecolor="#000000">
              <v:stroke dashstyle="solid"/>
            </v:line>
            <v:rect style="position:absolute;left:2125;top:703;width:10;height:20" filled="true" fillcolor="#000000" stroked="false">
              <v:fill type="solid"/>
            </v:rect>
            <v:rect style="position:absolute;left:2125;top:760;width:10;height:20" filled="true" fillcolor="#000000" stroked="false">
              <v:fill type="solid"/>
            </v:rect>
            <v:rect style="position:absolute;left:2125;top:818;width:10;height:20" filled="true" fillcolor="#000000" stroked="false">
              <v:fill type="solid"/>
            </v:rect>
            <v:rect style="position:absolute;left:2125;top:876;width:10;height:20" filled="true" fillcolor="#000000" stroked="false">
              <v:fill type="solid"/>
            </v:rect>
            <v:rect style="position:absolute;left:2125;top:933;width:10;height:20" filled="true" fillcolor="#000000" stroked="false">
              <v:fill type="solid"/>
            </v:rect>
            <v:rect style="position:absolute;left:2125;top:991;width:10;height:20" filled="true" fillcolor="#000000" stroked="false">
              <v:fill type="solid"/>
            </v:rect>
            <v:rect style="position:absolute;left:2125;top:1048;width:10;height:20" filled="true" fillcolor="#000000" stroked="false">
              <v:fill type="solid"/>
            </v:rect>
            <v:rect style="position:absolute;left:2125;top:1106;width:10;height:20" filled="true" fillcolor="#000000" stroked="false">
              <v:fill type="solid"/>
            </v:rect>
            <v:rect style="position:absolute;left:2125;top:1164;width:10;height:20" filled="true" fillcolor="#000000" stroked="false">
              <v:fill type="solid"/>
            </v:rect>
            <v:rect style="position:absolute;left:2125;top:1221;width:10;height:20" filled="true" fillcolor="#000000" stroked="false">
              <v:fill type="solid"/>
            </v:rect>
            <v:rect style="position:absolute;left:2125;top:1279;width:10;height:20" filled="true" fillcolor="#000000" stroked="false">
              <v:fill type="solid"/>
            </v:rect>
            <v:rect style="position:absolute;left:2125;top:1336;width:10;height:20" filled="true" fillcolor="#000000" stroked="false">
              <v:fill type="solid"/>
            </v:rect>
            <v:rect style="position:absolute;left:2125;top:1394;width:10;height:20" filled="true" fillcolor="#000000" stroked="false">
              <v:fill type="solid"/>
            </v:rect>
            <v:rect style="position:absolute;left:2125;top:1452;width:10;height:20" filled="true" fillcolor="#000000" stroked="false">
              <v:fill type="solid"/>
            </v:rect>
            <v:rect style="position:absolute;left:2125;top:1509;width:10;height:20" filled="true" fillcolor="#000000" stroked="false">
              <v:fill type="solid"/>
            </v:rect>
            <v:rect style="position:absolute;left:2125;top:1567;width:10;height:20" filled="true" fillcolor="#000000" stroked="false">
              <v:fill type="solid"/>
            </v:rect>
            <v:rect style="position:absolute;left:2125;top:1624;width:10;height:20" filled="true" fillcolor="#000000" stroked="false">
              <v:fill type="solid"/>
            </v:rect>
            <v:rect style="position:absolute;left:2125;top:1682;width:10;height:20" filled="true" fillcolor="#000000" stroked="false">
              <v:fill type="solid"/>
            </v:rect>
            <v:rect style="position:absolute;left:2125;top:1740;width:10;height:20" filled="true" fillcolor="#000000" stroked="false">
              <v:fill type="solid"/>
            </v:rect>
            <v:rect style="position:absolute;left:2125;top:1797;width:10;height:20" filled="true" fillcolor="#000000" stroked="false">
              <v:fill type="solid"/>
            </v:rect>
            <v:rect style="position:absolute;left:2125;top:1855;width:10;height:20" filled="true" fillcolor="#000000" stroked="false">
              <v:fill type="solid"/>
            </v:rect>
            <v:rect style="position:absolute;left:2125;top:1912;width:10;height:20" filled="true" fillcolor="#000000" stroked="false">
              <v:fill type="solid"/>
            </v:rect>
            <v:rect style="position:absolute;left:2125;top:1970;width:10;height:20" filled="true" fillcolor="#000000" stroked="false">
              <v:fill type="solid"/>
            </v:rect>
            <v:rect style="position:absolute;left:2125;top:2028;width:10;height:20" filled="true" fillcolor="#000000" stroked="false">
              <v:fill type="solid"/>
            </v:rect>
            <v:rect style="position:absolute;left:2125;top:2085;width:10;height:20" filled="true" fillcolor="#000000" stroked="false">
              <v:fill type="solid"/>
            </v:rect>
            <v:rect style="position:absolute;left:2122;top:2145;width:10;height:20" filled="true" fillcolor="#000000" stroked="false">
              <v:fill type="solid"/>
            </v:rect>
            <v:rect style="position:absolute;left:2122;top:2203;width:10;height:20" filled="true" fillcolor="#000000" stroked="false">
              <v:fill type="solid"/>
            </v:rect>
            <v:rect style="position:absolute;left:2122;top:2260;width:10;height:20" filled="true" fillcolor="#000000" stroked="false">
              <v:fill type="solid"/>
            </v:rect>
            <v:rect style="position:absolute;left:2122;top:2318;width:10;height:20" filled="true" fillcolor="#000000" stroked="false">
              <v:fill type="solid"/>
            </v:rect>
            <v:rect style="position:absolute;left:2122;top:2376;width:10;height:20" filled="true" fillcolor="#000000" stroked="false">
              <v:fill type="solid"/>
            </v:rect>
            <v:rect style="position:absolute;left:2122;top:2433;width:10;height:20" filled="true" fillcolor="#000000" stroked="false">
              <v:fill type="solid"/>
            </v:rect>
            <v:rect style="position:absolute;left:2122;top:2491;width:10;height:20" filled="true" fillcolor="#000000" stroked="false">
              <v:fill type="solid"/>
            </v:rect>
            <v:rect style="position:absolute;left:2122;top:2548;width:10;height:20" filled="true" fillcolor="#000000" stroked="false">
              <v:fill type="solid"/>
            </v:rect>
            <v:rect style="position:absolute;left:2122;top:2606;width:10;height:20" filled="true" fillcolor="#000000" stroked="false">
              <v:fill type="solid"/>
            </v:rect>
            <v:rect style="position:absolute;left:2122;top:2664;width:10;height:20" filled="true" fillcolor="#000000" stroked="false">
              <v:fill type="solid"/>
            </v:rect>
            <v:rect style="position:absolute;left:2122;top:2721;width:10;height:20" filled="true" fillcolor="#000000" stroked="false">
              <v:fill type="solid"/>
            </v:rect>
            <v:rect style="position:absolute;left:2122;top:2779;width:10;height:20" filled="true" fillcolor="#000000" stroked="false">
              <v:fill type="solid"/>
            </v:rect>
            <v:rect style="position:absolute;left:2122;top:2836;width:10;height:20" filled="true" fillcolor="#000000" stroked="false">
              <v:fill type="solid"/>
            </v:rect>
            <v:rect style="position:absolute;left:2122;top:2894;width:10;height:20" filled="true" fillcolor="#000000" stroked="false">
              <v:fill type="solid"/>
            </v:rect>
            <v:rect style="position:absolute;left:2122;top:2952;width:10;height:20" filled="true" fillcolor="#000000" stroked="false">
              <v:fill type="solid"/>
            </v:rect>
            <v:rect style="position:absolute;left:2122;top:3009;width:10;height:20" filled="true" fillcolor="#000000" stroked="false">
              <v:fill type="solid"/>
            </v:rect>
            <v:rect style="position:absolute;left:2122;top:3067;width:10;height:20" filled="true" fillcolor="#000000" stroked="false">
              <v:fill type="solid"/>
            </v:rect>
            <v:rect style="position:absolute;left:2122;top:3124;width:10;height:20" filled="true" fillcolor="#000000" stroked="false">
              <v:fill type="solid"/>
            </v:rect>
            <v:rect style="position:absolute;left:2122;top:3182;width:10;height:20" filled="true" fillcolor="#000000" stroked="false">
              <v:fill type="solid"/>
            </v:rect>
            <v:rect style="position:absolute;left:2122;top:3240;width:10;height:20" filled="true" fillcolor="#000000" stroked="false">
              <v:fill type="solid"/>
            </v:rect>
            <v:rect style="position:absolute;left:2122;top:3297;width:10;height:20" filled="true" fillcolor="#000000" stroked="false">
              <v:fill type="solid"/>
            </v:rect>
            <v:rect style="position:absolute;left:2122;top:3355;width:10;height:20" filled="true" fillcolor="#000000" stroked="false">
              <v:fill type="solid"/>
            </v:rect>
            <v:rect style="position:absolute;left:2122;top:3412;width:10;height:20" filled="true" fillcolor="#000000" stroked="false">
              <v:fill type="solid"/>
            </v:rect>
            <v:rect style="position:absolute;left:2122;top:3470;width:10;height:20" filled="true" fillcolor="#000000" stroked="false">
              <v:fill type="solid"/>
            </v:rect>
            <v:rect style="position:absolute;left:2122;top:3528;width:10;height:20" filled="true" fillcolor="#000000" stroked="false">
              <v:fill type="solid"/>
            </v:rect>
            <v:rect style="position:absolute;left:4146;top:700;width:10;height:20" filled="true" fillcolor="#000000" stroked="false">
              <v:fill type="solid"/>
            </v:rect>
            <v:rect style="position:absolute;left:4146;top:758;width:10;height:20" filled="true" fillcolor="#000000" stroked="false">
              <v:fill type="solid"/>
            </v:rect>
            <v:rect style="position:absolute;left:4146;top:816;width:10;height:20" filled="true" fillcolor="#000000" stroked="false">
              <v:fill type="solid"/>
            </v:rect>
            <v:rect style="position:absolute;left:4146;top:873;width:10;height:20" filled="true" fillcolor="#000000" stroked="false">
              <v:fill type="solid"/>
            </v:rect>
            <v:rect style="position:absolute;left:4146;top:931;width:10;height:20" filled="true" fillcolor="#000000" stroked="false">
              <v:fill type="solid"/>
            </v:rect>
            <v:rect style="position:absolute;left:4146;top:988;width:10;height:20" filled="true" fillcolor="#000000" stroked="false">
              <v:fill type="solid"/>
            </v:rect>
            <v:rect style="position:absolute;left:4146;top:1046;width:10;height:20" filled="true" fillcolor="#000000" stroked="false">
              <v:fill type="solid"/>
            </v:rect>
            <v:rect style="position:absolute;left:4146;top:1104;width:10;height:20" filled="true" fillcolor="#000000" stroked="false">
              <v:fill type="solid"/>
            </v:rect>
            <v:rect style="position:absolute;left:4146;top:1161;width:10;height:20" filled="true" fillcolor="#000000" stroked="false">
              <v:fill type="solid"/>
            </v:rect>
            <v:rect style="position:absolute;left:4146;top:1219;width:10;height:20" filled="true" fillcolor="#000000" stroked="false">
              <v:fill type="solid"/>
            </v:rect>
            <v:rect style="position:absolute;left:4146;top:1276;width:10;height:20" filled="true" fillcolor="#000000" stroked="false">
              <v:fill type="solid"/>
            </v:rect>
            <v:rect style="position:absolute;left:4146;top:1334;width:10;height:20" filled="true" fillcolor="#000000" stroked="false">
              <v:fill type="solid"/>
            </v:rect>
            <v:rect style="position:absolute;left:4146;top:1392;width:10;height:20" filled="true" fillcolor="#000000" stroked="false">
              <v:fill type="solid"/>
            </v:rect>
            <v:rect style="position:absolute;left:4146;top:1449;width:10;height:20" filled="true" fillcolor="#000000" stroked="false">
              <v:fill type="solid"/>
            </v:rect>
            <v:rect style="position:absolute;left:4146;top:1507;width:10;height:20" filled="true" fillcolor="#000000" stroked="false">
              <v:fill type="solid"/>
            </v:rect>
            <v:rect style="position:absolute;left:4146;top:1564;width:10;height:20" filled="true" fillcolor="#000000" stroked="false">
              <v:fill type="solid"/>
            </v:rect>
            <v:rect style="position:absolute;left:4146;top:1622;width:10;height:20" filled="true" fillcolor="#000000" stroked="false">
              <v:fill type="solid"/>
            </v:rect>
            <v:rect style="position:absolute;left:4146;top:1680;width:10;height:20" filled="true" fillcolor="#000000" stroked="false">
              <v:fill type="solid"/>
            </v:rect>
            <v:rect style="position:absolute;left:4146;top:1737;width:10;height:20" filled="true" fillcolor="#000000" stroked="false">
              <v:fill type="solid"/>
            </v:rect>
            <v:rect style="position:absolute;left:4146;top:1795;width:10;height:20" filled="true" fillcolor="#000000" stroked="false">
              <v:fill type="solid"/>
            </v:rect>
            <v:rect style="position:absolute;left:4146;top:1852;width:10;height:20" filled="true" fillcolor="#000000" stroked="false">
              <v:fill type="solid"/>
            </v:rect>
            <v:rect style="position:absolute;left:4146;top:1910;width:10;height:20" filled="true" fillcolor="#000000" stroked="false">
              <v:fill type="solid"/>
            </v:rect>
            <v:rect style="position:absolute;left:4146;top:1968;width:10;height:20" filled="true" fillcolor="#000000" stroked="false">
              <v:fill type="solid"/>
            </v:rect>
            <v:rect style="position:absolute;left:4146;top:2025;width:10;height:20" filled="true" fillcolor="#000000" stroked="false">
              <v:fill type="solid"/>
            </v:rect>
            <v:rect style="position:absolute;left:4146;top:2083;width:10;height:20" filled="true" fillcolor="#000000" stroked="false">
              <v:fill type="solid"/>
            </v:rect>
            <v:rect style="position:absolute;left:4146;top:2143;width:10;height:20" filled="true" fillcolor="#000000" stroked="false">
              <v:fill type="solid"/>
            </v:rect>
            <v:rect style="position:absolute;left:4146;top:2200;width:10;height:20" filled="true" fillcolor="#000000" stroked="false">
              <v:fill type="solid"/>
            </v:rect>
            <v:rect style="position:absolute;left:4146;top:2258;width:10;height:20" filled="true" fillcolor="#000000" stroked="false">
              <v:fill type="solid"/>
            </v:rect>
            <v:rect style="position:absolute;left:4146;top:2316;width:10;height:20" filled="true" fillcolor="#000000" stroked="false">
              <v:fill type="solid"/>
            </v:rect>
            <v:rect style="position:absolute;left:4146;top:2373;width:10;height:20" filled="true" fillcolor="#000000" stroked="false">
              <v:fill type="solid"/>
            </v:rect>
            <v:rect style="position:absolute;left:4146;top:2431;width:10;height:20" filled="true" fillcolor="#000000" stroked="false">
              <v:fill type="solid"/>
            </v:rect>
            <v:rect style="position:absolute;left:4146;top:2488;width:10;height:20" filled="true" fillcolor="#000000" stroked="false">
              <v:fill type="solid"/>
            </v:rect>
            <v:rect style="position:absolute;left:4146;top:2546;width:10;height:20" filled="true" fillcolor="#000000" stroked="false">
              <v:fill type="solid"/>
            </v:rect>
            <v:rect style="position:absolute;left:4146;top:2604;width:10;height:20" filled="true" fillcolor="#000000" stroked="false">
              <v:fill type="solid"/>
            </v:rect>
            <v:rect style="position:absolute;left:4146;top:2661;width:10;height:20" filled="true" fillcolor="#000000" stroked="false">
              <v:fill type="solid"/>
            </v:rect>
            <v:rect style="position:absolute;left:4146;top:2719;width:10;height:20" filled="true" fillcolor="#000000" stroked="false">
              <v:fill type="solid"/>
            </v:rect>
            <v:rect style="position:absolute;left:4146;top:2776;width:10;height:20" filled="true" fillcolor="#000000" stroked="false">
              <v:fill type="solid"/>
            </v:rect>
            <v:rect style="position:absolute;left:4146;top:2834;width:10;height:20" filled="true" fillcolor="#000000" stroked="false">
              <v:fill type="solid"/>
            </v:rect>
            <v:rect style="position:absolute;left:4146;top:2892;width:10;height:20" filled="true" fillcolor="#000000" stroked="false">
              <v:fill type="solid"/>
            </v:rect>
            <v:rect style="position:absolute;left:4146;top:2949;width:10;height:20" filled="true" fillcolor="#000000" stroked="false">
              <v:fill type="solid"/>
            </v:rect>
            <v:rect style="position:absolute;left:4146;top:3007;width:10;height:20" filled="true" fillcolor="#000000" stroked="false">
              <v:fill type="solid"/>
            </v:rect>
            <v:rect style="position:absolute;left:4146;top:3064;width:10;height:20" filled="true" fillcolor="#000000" stroked="false">
              <v:fill type="solid"/>
            </v:rect>
            <v:rect style="position:absolute;left:4146;top:3122;width:10;height:20" filled="true" fillcolor="#000000" stroked="false">
              <v:fill type="solid"/>
            </v:rect>
            <v:rect style="position:absolute;left:4146;top:3180;width:10;height:20" filled="true" fillcolor="#000000" stroked="false">
              <v:fill type="solid"/>
            </v:rect>
            <v:rect style="position:absolute;left:4146;top:3237;width:10;height:20" filled="true" fillcolor="#000000" stroked="false">
              <v:fill type="solid"/>
            </v:rect>
            <v:rect style="position:absolute;left:4146;top:3295;width:10;height:20" filled="true" fillcolor="#000000" stroked="false">
              <v:fill type="solid"/>
            </v:rect>
            <v:rect style="position:absolute;left:4146;top:3352;width:10;height:20" filled="true" fillcolor="#000000" stroked="false">
              <v:fill type="solid"/>
            </v:rect>
            <v:rect style="position:absolute;left:4146;top:3410;width:10;height:20" filled="true" fillcolor="#000000" stroked="false">
              <v:fill type="solid"/>
            </v:rect>
            <v:rect style="position:absolute;left:4146;top:3468;width:10;height:20" filled="true" fillcolor="#000000" stroked="false">
              <v:fill type="solid"/>
            </v:rect>
            <v:rect style="position:absolute;left:4146;top:3525;width:10;height:20" filled="true" fillcolor="#000000" stroked="false">
              <v:fill type="solid"/>
            </v:rect>
            <v:line style="position:absolute" from="20,3614" to="2732,2599" stroked="true" strokeweight="2.04pt" strokecolor="#ff0000">
              <v:stroke dashstyle="solid"/>
            </v:line>
            <v:line style="position:absolute" from="3748,790" to="2732,2597" stroked="true" strokeweight="2.04pt" strokecolor="#ff0000">
              <v:stroke dashstyle="solid"/>
            </v:line>
            <v:shape style="position:absolute;left:318;top:91;width:119;height:245" type="#_x0000_t202" filled="false" stroked="false">
              <v:textbox inset="0,0,0,0">
                <w:txbxContent>
                  <w:p>
                    <w:pPr>
                      <w:spacing w:line="244" w:lineRule="exact" w:before="0"/>
                      <w:ind w:left="0" w:right="0" w:firstLine="0"/>
                      <w:jc w:val="left"/>
                      <w:rPr>
                        <w:sz w:val="22"/>
                      </w:rPr>
                    </w:pPr>
                    <w:r>
                      <w:rPr>
                        <w:w w:val="100"/>
                        <w:sz w:val="22"/>
                      </w:rPr>
                      <w:t>a</w:t>
                    </w:r>
                  </w:p>
                </w:txbxContent>
              </v:textbox>
              <w10:wrap type="none"/>
            </v:shape>
            <v:shape style="position:absolute;left:6548;top:883;width:310;height:255" type="#_x0000_t202" filled="false" stroked="false">
              <v:textbox inset="0,0,0,0">
                <w:txbxContent>
                  <w:p>
                    <w:pPr>
                      <w:spacing w:line="254" w:lineRule="exact" w:before="0"/>
                      <w:ind w:left="0" w:right="0" w:firstLine="0"/>
                      <w:jc w:val="left"/>
                      <w:rPr>
                        <w:sz w:val="15"/>
                      </w:rPr>
                    </w:pPr>
                    <w:r>
                      <w:rPr>
                        <w:position w:val="3"/>
                        <w:sz w:val="22"/>
                      </w:rPr>
                      <w:t>a</w:t>
                    </w:r>
                    <w:r>
                      <w:rPr>
                        <w:sz w:val="15"/>
                      </w:rPr>
                      <w:t>crit</w:t>
                    </w:r>
                  </w:p>
                </w:txbxContent>
              </v:textbox>
              <w10:wrap type="none"/>
            </v:shape>
            <v:shape style="position:absolute;left:6495;top:2203;width:307;height:255" type="#_x0000_t202" filled="false" stroked="false">
              <v:textbox inset="0,0,0,0">
                <w:txbxContent>
                  <w:p>
                    <w:pPr>
                      <w:spacing w:line="254" w:lineRule="exact" w:before="0"/>
                      <w:ind w:left="0" w:right="0" w:firstLine="0"/>
                      <w:jc w:val="left"/>
                      <w:rPr>
                        <w:sz w:val="15"/>
                      </w:rPr>
                    </w:pPr>
                    <w:r>
                      <w:rPr>
                        <w:position w:val="3"/>
                        <w:sz w:val="22"/>
                      </w:rPr>
                      <w:t>a</w:t>
                    </w:r>
                    <w:r>
                      <w:rPr>
                        <w:sz w:val="15"/>
                      </w:rPr>
                      <w:t>lim</w:t>
                    </w:r>
                  </w:p>
                </w:txbxContent>
              </v:textbox>
              <w10:wrap type="none"/>
            </v:shape>
          </v:group>
        </w:pict>
      </w:r>
      <w:r>
        <w:rPr>
          <w:sz w:val="20"/>
        </w:rPr>
      </w:r>
    </w:p>
    <w:p>
      <w:pPr>
        <w:tabs>
          <w:tab w:pos="4430" w:val="left" w:leader="none"/>
        </w:tabs>
        <w:spacing w:before="83"/>
        <w:ind w:left="2606" w:right="0" w:firstLine="0"/>
        <w:jc w:val="left"/>
        <w:rPr>
          <w:sz w:val="22"/>
        </w:rPr>
      </w:pPr>
      <w:r>
        <w:rPr>
          <w:sz w:val="22"/>
        </w:rPr>
        <w:t>t</w:t>
      </w:r>
      <w:r>
        <w:rPr>
          <w:sz w:val="22"/>
          <w:vertAlign w:val="subscript"/>
        </w:rPr>
        <w:t>i</w:t>
      </w:r>
      <w:r>
        <w:rPr>
          <w:sz w:val="22"/>
          <w:vertAlign w:val="baseline"/>
        </w:rPr>
        <w:tab/>
        <w:t>t</w:t>
      </w:r>
      <w:r>
        <w:rPr>
          <w:sz w:val="22"/>
          <w:vertAlign w:val="subscript"/>
        </w:rPr>
        <w:t>i</w:t>
      </w:r>
      <w:r>
        <w:rPr>
          <w:sz w:val="22"/>
          <w:vertAlign w:val="baseline"/>
        </w:rPr>
        <w:t> +</w:t>
      </w:r>
      <w:r>
        <w:rPr>
          <w:spacing w:val="-28"/>
          <w:sz w:val="22"/>
          <w:vertAlign w:val="baseline"/>
        </w:rPr>
        <w:t> </w:t>
      </w:r>
      <w:r>
        <w:rPr>
          <w:rFonts w:ascii="Arial" w:hAnsi="Arial"/>
          <w:spacing w:val="-2"/>
          <w:position w:val="-2"/>
          <w:sz w:val="22"/>
          <w:vertAlign w:val="baseline"/>
        </w:rPr>
        <w:t>Δ</w:t>
      </w:r>
      <w:r>
        <w:rPr>
          <w:spacing w:val="-2"/>
          <w:sz w:val="22"/>
          <w:vertAlign w:val="baseline"/>
        </w:rPr>
        <w:t>t</w:t>
      </w:r>
      <w:r>
        <w:rPr>
          <w:spacing w:val="-2"/>
          <w:sz w:val="22"/>
          <w:vertAlign w:val="subscript"/>
        </w:rPr>
        <w:t>i</w:t>
      </w:r>
    </w:p>
    <w:p>
      <w:pPr>
        <w:pStyle w:val="BodyText"/>
        <w:rPr>
          <w:sz w:val="20"/>
        </w:rPr>
      </w:pPr>
    </w:p>
    <w:p>
      <w:pPr>
        <w:pStyle w:val="BodyText"/>
        <w:rPr>
          <w:sz w:val="20"/>
        </w:rPr>
      </w:pPr>
    </w:p>
    <w:p>
      <w:pPr>
        <w:pStyle w:val="BodyText"/>
        <w:spacing w:before="1"/>
        <w:rPr>
          <w:sz w:val="22"/>
        </w:rPr>
      </w:pPr>
    </w:p>
    <w:p>
      <w:pPr>
        <w:spacing w:line="309" w:lineRule="auto" w:before="0"/>
        <w:ind w:left="177" w:right="0" w:hanging="1"/>
        <w:jc w:val="left"/>
        <w:rPr>
          <w:i/>
          <w:sz w:val="24"/>
        </w:rPr>
      </w:pPr>
      <w:r>
        <w:rPr>
          <w:i/>
          <w:sz w:val="24"/>
        </w:rPr>
        <w:t>Figure B5: Fatigue failure in the interval t</w:t>
      </w:r>
      <w:r>
        <w:rPr>
          <w:i/>
          <w:sz w:val="24"/>
          <w:vertAlign w:val="subscript"/>
        </w:rPr>
        <w:t>i</w:t>
      </w:r>
      <w:r>
        <w:rPr>
          <w:i/>
          <w:sz w:val="24"/>
          <w:vertAlign w:val="baseline"/>
        </w:rPr>
        <w:t>, t</w:t>
      </w:r>
      <w:r>
        <w:rPr>
          <w:i/>
          <w:sz w:val="24"/>
          <w:vertAlign w:val="subscript"/>
        </w:rPr>
        <w:t>i</w:t>
      </w:r>
      <w:r>
        <w:rPr>
          <w:i/>
          <w:sz w:val="24"/>
          <w:vertAlign w:val="baseline"/>
        </w:rPr>
        <w:t> + </w:t>
      </w:r>
      <w:r>
        <w:rPr>
          <w:rFonts w:ascii="Arial" w:hAnsi="Arial"/>
          <w:i/>
          <w:sz w:val="25"/>
          <w:vertAlign w:val="baseline"/>
        </w:rPr>
        <w:t>Δ</w:t>
      </w:r>
      <w:r>
        <w:rPr>
          <w:i/>
          <w:sz w:val="24"/>
          <w:vertAlign w:val="baseline"/>
        </w:rPr>
        <w:t>t</w:t>
      </w:r>
      <w:r>
        <w:rPr>
          <w:i/>
          <w:sz w:val="24"/>
          <w:vertAlign w:val="subscript"/>
        </w:rPr>
        <w:t>i</w:t>
      </w:r>
      <w:r>
        <w:rPr>
          <w:i/>
          <w:sz w:val="24"/>
          <w:vertAlign w:val="baseline"/>
        </w:rPr>
        <w:t> with a(</w:t>
      </w:r>
      <w:r>
        <w:rPr>
          <w:rFonts w:ascii="Arial" w:hAnsi="Arial"/>
          <w:i/>
          <w:sz w:val="25"/>
          <w:vertAlign w:val="baseline"/>
        </w:rPr>
        <w:t>τ</w:t>
      </w:r>
      <w:r>
        <w:rPr>
          <w:i/>
          <w:sz w:val="24"/>
          <w:vertAlign w:val="baseline"/>
        </w:rPr>
        <w:t>) &lt; a</w:t>
      </w:r>
      <w:r>
        <w:rPr>
          <w:i/>
          <w:sz w:val="24"/>
          <w:vertAlign w:val="subscript"/>
        </w:rPr>
        <w:t>lim</w:t>
      </w:r>
      <w:r>
        <w:rPr>
          <w:i/>
          <w:sz w:val="24"/>
          <w:vertAlign w:val="baseline"/>
        </w:rPr>
        <w:t> at the beginning of the interval.</w:t>
      </w:r>
    </w:p>
    <w:p>
      <w:pPr>
        <w:spacing w:after="0" w:line="309" w:lineRule="auto"/>
        <w:jc w:val="left"/>
        <w:rPr>
          <w:sz w:val="24"/>
        </w:rPr>
        <w:sectPr>
          <w:pgSz w:w="11910" w:h="16840"/>
          <w:pgMar w:header="0" w:footer="788" w:top="1600" w:bottom="980" w:left="1240" w:right="1300"/>
        </w:sectPr>
      </w:pPr>
    </w:p>
    <w:p>
      <w:pPr>
        <w:pStyle w:val="Heading2"/>
        <w:numPr>
          <w:ilvl w:val="0"/>
          <w:numId w:val="2"/>
        </w:numPr>
        <w:tabs>
          <w:tab w:pos="538" w:val="left" w:leader="none"/>
        </w:tabs>
        <w:spacing w:line="240" w:lineRule="auto" w:before="64" w:after="0"/>
        <w:ind w:left="537" w:right="0" w:hanging="360"/>
        <w:jc w:val="left"/>
      </w:pPr>
      <w:bookmarkStart w:name="_TOC_250011" w:id="39"/>
      <w:bookmarkEnd w:id="39"/>
      <w:r>
        <w:rPr/>
        <w:t>Annex C: Reliability Analysis Principles</w:t>
      </w:r>
    </w:p>
    <w:p>
      <w:pPr>
        <w:pStyle w:val="BodyText"/>
        <w:rPr>
          <w:b/>
          <w:sz w:val="26"/>
        </w:rPr>
      </w:pPr>
    </w:p>
    <w:p>
      <w:pPr>
        <w:pStyle w:val="Heading2"/>
        <w:numPr>
          <w:ilvl w:val="1"/>
          <w:numId w:val="2"/>
        </w:numPr>
        <w:tabs>
          <w:tab w:pos="1084" w:val="left" w:leader="none"/>
          <w:tab w:pos="1085" w:val="left" w:leader="none"/>
        </w:tabs>
        <w:spacing w:line="240" w:lineRule="auto" w:before="186" w:after="0"/>
        <w:ind w:left="1084" w:right="0" w:hanging="907"/>
        <w:jc w:val="left"/>
      </w:pPr>
      <w:bookmarkStart w:name="_TOC_250010" w:id="40"/>
      <w:bookmarkEnd w:id="40"/>
      <w:r>
        <w:rPr/>
        <w:t>Introduction</w:t>
      </w:r>
    </w:p>
    <w:p>
      <w:pPr>
        <w:pStyle w:val="BodyText"/>
        <w:spacing w:line="312" w:lineRule="auto" w:before="202"/>
        <w:ind w:left="177" w:right="112"/>
        <w:jc w:val="both"/>
      </w:pPr>
      <w:r>
        <w:rPr/>
        <w:t>In recent years, practical reliability methods have been developed to help engineers tackle the analysis, quantification, monitoring and assessment of structural risks, undertake sensitivity analysis of inherent uncertainties and make appropriate decisions about the performance of a structure. The structure may be at the design stage, under construction or in actual use.</w:t>
      </w:r>
    </w:p>
    <w:p>
      <w:pPr>
        <w:pStyle w:val="BodyText"/>
        <w:spacing w:before="8"/>
        <w:rPr>
          <w:sz w:val="31"/>
        </w:rPr>
      </w:pPr>
    </w:p>
    <w:p>
      <w:pPr>
        <w:pStyle w:val="BodyText"/>
        <w:spacing w:line="312" w:lineRule="auto"/>
        <w:ind w:left="177" w:right="112"/>
        <w:jc w:val="both"/>
      </w:pPr>
      <w:r>
        <w:rPr/>
        <w:t>This Annex C summarizes the principles and procedures used in formulating and solving risk related problems via reliability analysis. It is neither as broad nor as detailed as available textbooks on this subject, some of which are included in the bibliography. Its purpose is to underpin the updating and decision-making methodologies presented in part 2 of this document.</w:t>
      </w:r>
    </w:p>
    <w:p>
      <w:pPr>
        <w:pStyle w:val="BodyText"/>
        <w:spacing w:before="9"/>
        <w:rPr>
          <w:sz w:val="31"/>
        </w:rPr>
      </w:pPr>
    </w:p>
    <w:p>
      <w:pPr>
        <w:pStyle w:val="BodyText"/>
        <w:spacing w:line="312" w:lineRule="auto" w:before="1"/>
        <w:ind w:left="177" w:right="110"/>
        <w:jc w:val="both"/>
      </w:pPr>
      <w:r>
        <w:rPr/>
        <w:t>Starting from the principles of limit state analysis and its application to codified design, the link is made between unacceptable performance and probability of failure. It is important, especially in assessment, to distinguish between components and systems. System concepts are introduced and important results are summarized. The steps involved in carrying out a reliability analysis, whose main objective is to estimate the failure probability, are outlined and alternative techniques available for such an analysis are presented. Some recommendations on formulating stochastic models for commonly used variables are also included.</w:t>
      </w:r>
    </w:p>
    <w:p>
      <w:pPr>
        <w:pStyle w:val="BodyText"/>
        <w:spacing w:before="10"/>
        <w:rPr>
          <w:sz w:val="35"/>
        </w:rPr>
      </w:pPr>
    </w:p>
    <w:p>
      <w:pPr>
        <w:pStyle w:val="Heading2"/>
        <w:numPr>
          <w:ilvl w:val="1"/>
          <w:numId w:val="2"/>
        </w:numPr>
        <w:tabs>
          <w:tab w:pos="1085" w:val="left" w:leader="none"/>
        </w:tabs>
        <w:spacing w:line="240" w:lineRule="auto" w:before="0" w:after="0"/>
        <w:ind w:left="1084" w:right="0" w:hanging="907"/>
        <w:jc w:val="both"/>
      </w:pPr>
      <w:bookmarkStart w:name="_TOC_250009" w:id="41"/>
      <w:bookmarkEnd w:id="41"/>
      <w:r>
        <w:rPr/>
        <w:t>Concepts</w:t>
      </w:r>
    </w:p>
    <w:p>
      <w:pPr>
        <w:pStyle w:val="BodyText"/>
        <w:spacing w:before="5"/>
        <w:rPr>
          <w:b/>
          <w:sz w:val="31"/>
        </w:rPr>
      </w:pPr>
    </w:p>
    <w:p>
      <w:pPr>
        <w:pStyle w:val="ListParagraph"/>
        <w:numPr>
          <w:ilvl w:val="2"/>
          <w:numId w:val="18"/>
        </w:numPr>
        <w:tabs>
          <w:tab w:pos="1085" w:val="left" w:leader="none"/>
        </w:tabs>
        <w:spacing w:line="240" w:lineRule="auto" w:before="0" w:after="0"/>
        <w:ind w:left="1084" w:right="0" w:hanging="907"/>
        <w:jc w:val="both"/>
        <w:rPr>
          <w:sz w:val="24"/>
        </w:rPr>
      </w:pPr>
      <w:r>
        <w:rPr>
          <w:sz w:val="24"/>
          <w:u w:val="single"/>
        </w:rPr>
        <w:t>Limit</w:t>
      </w:r>
      <w:r>
        <w:rPr>
          <w:spacing w:val="-1"/>
          <w:sz w:val="24"/>
          <w:u w:val="single"/>
        </w:rPr>
        <w:t> </w:t>
      </w:r>
      <w:r>
        <w:rPr>
          <w:sz w:val="24"/>
          <w:u w:val="single"/>
        </w:rPr>
        <w:t>States</w:t>
      </w:r>
    </w:p>
    <w:p>
      <w:pPr>
        <w:pStyle w:val="BodyText"/>
        <w:spacing w:before="4"/>
        <w:rPr>
          <w:sz w:val="20"/>
        </w:rPr>
      </w:pPr>
    </w:p>
    <w:p>
      <w:pPr>
        <w:pStyle w:val="BodyText"/>
        <w:spacing w:line="312" w:lineRule="auto" w:before="90"/>
        <w:ind w:left="177" w:right="113"/>
        <w:jc w:val="both"/>
      </w:pPr>
      <w:r>
        <w:rPr/>
        <w:t>The structural performance of a whole structure or part of it may be described with reference to a set of limit states which separate acceptable states of the structure from unacceptable states. The limit states are divided into the following two categories:</w:t>
      </w:r>
    </w:p>
    <w:p>
      <w:pPr>
        <w:pStyle w:val="ListParagraph"/>
        <w:numPr>
          <w:ilvl w:val="0"/>
          <w:numId w:val="19"/>
        </w:numPr>
        <w:tabs>
          <w:tab w:pos="886" w:val="left" w:leader="none"/>
          <w:tab w:pos="887" w:val="left" w:leader="none"/>
        </w:tabs>
        <w:spacing w:line="240" w:lineRule="auto" w:before="4" w:after="0"/>
        <w:ind w:left="396" w:right="0" w:hanging="219"/>
        <w:jc w:val="left"/>
        <w:rPr>
          <w:sz w:val="24"/>
        </w:rPr>
      </w:pPr>
      <w:r>
        <w:rPr>
          <w:sz w:val="24"/>
        </w:rPr>
        <w:t>ultimate limit states, which relate to the maximum load carrying</w:t>
      </w:r>
      <w:r>
        <w:rPr>
          <w:spacing w:val="-6"/>
          <w:sz w:val="24"/>
        </w:rPr>
        <w:t> </w:t>
      </w:r>
      <w:r>
        <w:rPr>
          <w:sz w:val="24"/>
        </w:rPr>
        <w:t>capacity.</w:t>
      </w:r>
    </w:p>
    <w:p>
      <w:pPr>
        <w:pStyle w:val="ListParagraph"/>
        <w:numPr>
          <w:ilvl w:val="0"/>
          <w:numId w:val="19"/>
        </w:numPr>
        <w:tabs>
          <w:tab w:pos="886" w:val="left" w:leader="none"/>
          <w:tab w:pos="887" w:val="left" w:leader="none"/>
        </w:tabs>
        <w:spacing w:line="240" w:lineRule="auto" w:before="84" w:after="0"/>
        <w:ind w:left="396" w:right="0" w:hanging="219"/>
        <w:jc w:val="left"/>
        <w:rPr>
          <w:sz w:val="24"/>
        </w:rPr>
      </w:pPr>
      <w:r>
        <w:rPr>
          <w:sz w:val="24"/>
        </w:rPr>
        <w:t>serviceability limit states, which relate to normal</w:t>
      </w:r>
      <w:r>
        <w:rPr>
          <w:spacing w:val="-5"/>
          <w:sz w:val="24"/>
        </w:rPr>
        <w:t> </w:t>
      </w:r>
      <w:r>
        <w:rPr>
          <w:sz w:val="24"/>
        </w:rPr>
        <w:t>use.</w:t>
      </w:r>
    </w:p>
    <w:p>
      <w:pPr>
        <w:pStyle w:val="BodyText"/>
        <w:spacing w:before="7"/>
        <w:rPr>
          <w:sz w:val="38"/>
        </w:rPr>
      </w:pPr>
    </w:p>
    <w:p>
      <w:pPr>
        <w:pStyle w:val="BodyText"/>
        <w:spacing w:line="312" w:lineRule="auto"/>
        <w:ind w:left="177" w:right="112"/>
        <w:jc w:val="both"/>
      </w:pPr>
      <w:r>
        <w:rPr/>
        <w:t>The boundary between acceptable (safe) and unacceptable (failure) states may be distinct or diffuse but, at present, deterministic codes of practice assume the former.Thus, verification of a structure with respect to a particular limit state is carried out via a model describing the  limit state in terms of a function (called the limit state function) whose value depends on all relevant design parameters. In general terms, attainment of the limit state can be expressed as:</w:t>
      </w:r>
    </w:p>
    <w:p>
      <w:pPr>
        <w:spacing w:after="0" w:line="312" w:lineRule="auto"/>
        <w:jc w:val="both"/>
        <w:sectPr>
          <w:pgSz w:w="11910" w:h="16840"/>
          <w:pgMar w:header="0" w:footer="788" w:top="1460" w:bottom="980" w:left="1240" w:right="1300"/>
        </w:sectPr>
      </w:pPr>
    </w:p>
    <w:p>
      <w:pPr>
        <w:pStyle w:val="BodyText"/>
        <w:spacing w:before="7"/>
        <w:rPr>
          <w:sz w:val="16"/>
        </w:rPr>
      </w:pPr>
    </w:p>
    <w:p>
      <w:pPr>
        <w:tabs>
          <w:tab w:pos="7978" w:val="left" w:leader="none"/>
        </w:tabs>
        <w:spacing w:before="91"/>
        <w:ind w:left="1595" w:right="0" w:firstLine="0"/>
        <w:jc w:val="left"/>
        <w:rPr>
          <w:sz w:val="24"/>
        </w:rPr>
      </w:pPr>
      <w:r>
        <w:rPr>
          <w:i/>
          <w:sz w:val="24"/>
        </w:rPr>
        <w:t>g </w:t>
      </w:r>
      <w:r>
        <w:rPr>
          <w:sz w:val="24"/>
        </w:rPr>
        <w:t>(</w:t>
      </w:r>
      <w:r>
        <w:rPr>
          <w:b/>
          <w:sz w:val="24"/>
        </w:rPr>
        <w:t>s</w:t>
      </w:r>
      <w:r>
        <w:rPr>
          <w:sz w:val="24"/>
        </w:rPr>
        <w:t>, </w:t>
      </w:r>
      <w:r>
        <w:rPr>
          <w:b/>
          <w:sz w:val="24"/>
        </w:rPr>
        <w:t>r</w:t>
      </w:r>
      <w:r>
        <w:rPr>
          <w:sz w:val="24"/>
        </w:rPr>
        <w:t>)</w:t>
      </w:r>
      <w:r>
        <w:rPr>
          <w:spacing w:val="57"/>
          <w:sz w:val="24"/>
        </w:rPr>
        <w:t> </w:t>
      </w:r>
      <w:r>
        <w:rPr>
          <w:sz w:val="24"/>
        </w:rPr>
        <w:t>=</w:t>
      </w:r>
      <w:r>
        <w:rPr>
          <w:spacing w:val="-1"/>
          <w:sz w:val="24"/>
        </w:rPr>
        <w:t> </w:t>
      </w:r>
      <w:r>
        <w:rPr>
          <w:sz w:val="24"/>
        </w:rPr>
        <w:t>0</w:t>
        <w:tab/>
        <w:t>(C.1)</w:t>
      </w:r>
    </w:p>
    <w:p>
      <w:pPr>
        <w:pStyle w:val="BodyText"/>
        <w:spacing w:before="7"/>
        <w:rPr>
          <w:sz w:val="38"/>
        </w:rPr>
      </w:pPr>
    </w:p>
    <w:p>
      <w:pPr>
        <w:pStyle w:val="BodyText"/>
        <w:ind w:left="177"/>
      </w:pPr>
      <w:r>
        <w:rPr/>
        <w:t>where </w:t>
      </w:r>
      <w:r>
        <w:rPr>
          <w:b/>
        </w:rPr>
        <w:t>s </w:t>
      </w:r>
      <w:r>
        <w:rPr/>
        <w:t>and </w:t>
      </w:r>
      <w:r>
        <w:rPr>
          <w:b/>
        </w:rPr>
        <w:t>r </w:t>
      </w:r>
      <w:r>
        <w:rPr/>
        <w:t>represent sets of load (actions) and resistance variables. Conventionally, </w:t>
      </w:r>
      <w:r>
        <w:rPr>
          <w:i/>
        </w:rPr>
        <w:t>g </w:t>
      </w:r>
      <w:r>
        <w:rPr/>
        <w:t>(</w:t>
      </w:r>
      <w:r>
        <w:rPr>
          <w:b/>
        </w:rPr>
        <w:t>s</w:t>
      </w:r>
      <w:r>
        <w:rPr/>
        <w:t>, </w:t>
      </w:r>
      <w:r>
        <w:rPr>
          <w:b/>
        </w:rPr>
        <w:t>r</w:t>
      </w:r>
      <w:r>
        <w:rPr/>
        <w:t>)</w:t>
      </w:r>
    </w:p>
    <w:p>
      <w:pPr>
        <w:pStyle w:val="BodyText"/>
        <w:spacing w:before="83"/>
        <w:ind w:left="177"/>
      </w:pPr>
      <w:r>
        <w:rPr>
          <w:rFonts w:ascii="Arial" w:hAnsi="Arial"/>
        </w:rPr>
        <w:t>≤ </w:t>
      </w:r>
      <w:r>
        <w:rPr/>
        <w:t>0 represents failure; in other words, an adverse state.</w:t>
      </w:r>
    </w:p>
    <w:p>
      <w:pPr>
        <w:pStyle w:val="BodyText"/>
        <w:spacing w:before="7"/>
        <w:rPr>
          <w:sz w:val="38"/>
        </w:rPr>
      </w:pPr>
    </w:p>
    <w:p>
      <w:pPr>
        <w:pStyle w:val="BodyText"/>
        <w:spacing w:line="312" w:lineRule="auto"/>
        <w:ind w:left="177"/>
      </w:pPr>
      <w:r>
        <w:rPr/>
        <w:t>The limit state function, </w:t>
      </w:r>
      <w:r>
        <w:rPr>
          <w:i/>
        </w:rPr>
        <w:t>g </w:t>
      </w:r>
      <w:r>
        <w:rPr/>
        <w:t>(</w:t>
      </w:r>
      <w:r>
        <w:rPr>
          <w:b/>
        </w:rPr>
        <w:t>s</w:t>
      </w:r>
      <w:r>
        <w:rPr/>
        <w:t>, </w:t>
      </w:r>
      <w:r>
        <w:rPr>
          <w:b/>
        </w:rPr>
        <w:t>r</w:t>
      </w:r>
      <w:r>
        <w:rPr/>
        <w:t>), can often be separated into one resistance function, </w:t>
      </w:r>
      <w:r>
        <w:rPr>
          <w:i/>
        </w:rPr>
        <w:t>r(.)</w:t>
      </w:r>
      <w:r>
        <w:rPr/>
        <w:t>, and one loading (or action effect) function, </w:t>
      </w:r>
      <w:r>
        <w:rPr>
          <w:i/>
        </w:rPr>
        <w:t>s(.)</w:t>
      </w:r>
      <w:r>
        <w:rPr/>
        <w:t>, in which case equation (C.) can be expressed as:</w:t>
      </w:r>
    </w:p>
    <w:p>
      <w:pPr>
        <w:pStyle w:val="BodyText"/>
        <w:spacing w:before="6"/>
        <w:rPr>
          <w:sz w:val="31"/>
        </w:rPr>
      </w:pPr>
    </w:p>
    <w:p>
      <w:pPr>
        <w:tabs>
          <w:tab w:pos="7978" w:val="left" w:leader="none"/>
        </w:tabs>
        <w:spacing w:before="0"/>
        <w:ind w:left="1595" w:right="0" w:firstLine="0"/>
        <w:jc w:val="left"/>
        <w:rPr>
          <w:sz w:val="24"/>
        </w:rPr>
      </w:pPr>
      <w:r>
        <w:rPr>
          <w:i/>
          <w:sz w:val="24"/>
        </w:rPr>
        <w:t>r </w:t>
      </w:r>
      <w:r>
        <w:rPr>
          <w:sz w:val="24"/>
        </w:rPr>
        <w:t>(</w:t>
      </w:r>
      <w:r>
        <w:rPr>
          <w:b/>
          <w:sz w:val="24"/>
        </w:rPr>
        <w:t>r</w:t>
      </w:r>
      <w:r>
        <w:rPr>
          <w:sz w:val="24"/>
        </w:rPr>
        <w:t>) - </w:t>
      </w:r>
      <w:r>
        <w:rPr>
          <w:i/>
          <w:sz w:val="24"/>
        </w:rPr>
        <w:t>s </w:t>
      </w:r>
      <w:r>
        <w:rPr>
          <w:sz w:val="24"/>
        </w:rPr>
        <w:t>(</w:t>
      </w:r>
      <w:r>
        <w:rPr>
          <w:b/>
          <w:sz w:val="24"/>
        </w:rPr>
        <w:t>s</w:t>
      </w:r>
      <w:r>
        <w:rPr>
          <w:sz w:val="24"/>
        </w:rPr>
        <w:t>)</w:t>
      </w:r>
      <w:r>
        <w:rPr>
          <w:spacing w:val="-1"/>
          <w:sz w:val="24"/>
        </w:rPr>
        <w:t> </w:t>
      </w:r>
      <w:r>
        <w:rPr>
          <w:sz w:val="24"/>
        </w:rPr>
        <w:t>= 0</w:t>
        <w:tab/>
        <w:t>(C.2)</w:t>
      </w:r>
    </w:p>
    <w:p>
      <w:pPr>
        <w:pStyle w:val="BodyText"/>
        <w:rPr>
          <w:sz w:val="26"/>
        </w:rPr>
      </w:pPr>
    </w:p>
    <w:p>
      <w:pPr>
        <w:pStyle w:val="BodyText"/>
        <w:spacing w:before="5"/>
        <w:rPr>
          <w:sz w:val="26"/>
        </w:rPr>
      </w:pPr>
    </w:p>
    <w:p>
      <w:pPr>
        <w:pStyle w:val="ListParagraph"/>
        <w:numPr>
          <w:ilvl w:val="2"/>
          <w:numId w:val="18"/>
        </w:numPr>
        <w:tabs>
          <w:tab w:pos="1084" w:val="left" w:leader="none"/>
          <w:tab w:pos="1085" w:val="left" w:leader="none"/>
        </w:tabs>
        <w:spacing w:line="240" w:lineRule="auto" w:before="0" w:after="0"/>
        <w:ind w:left="1084" w:right="0" w:hanging="907"/>
        <w:jc w:val="left"/>
        <w:rPr>
          <w:sz w:val="24"/>
        </w:rPr>
      </w:pPr>
      <w:r>
        <w:rPr>
          <w:sz w:val="24"/>
          <w:u w:val="single"/>
        </w:rPr>
        <w:t>Structural Reliability</w:t>
      </w:r>
    </w:p>
    <w:p>
      <w:pPr>
        <w:pStyle w:val="BodyText"/>
        <w:spacing w:before="4"/>
        <w:rPr>
          <w:sz w:val="20"/>
        </w:rPr>
      </w:pPr>
    </w:p>
    <w:p>
      <w:pPr>
        <w:pStyle w:val="BodyText"/>
        <w:spacing w:line="312" w:lineRule="auto" w:before="90"/>
        <w:ind w:left="177" w:right="111"/>
        <w:jc w:val="both"/>
      </w:pPr>
      <w:r>
        <w:rPr/>
        <w:t>Load, material and geometry parameters are subject to uncertainties, which can be classified according to their nature, see section 3. They can, thus, be represented by random variables (this being the simplest possible probabilistic representation, whereas more advanced models might be appropriate in certain situations, such as random fields). The variables </w:t>
      </w:r>
      <w:r>
        <w:rPr>
          <w:b/>
        </w:rPr>
        <w:t>S </w:t>
      </w:r>
      <w:r>
        <w:rPr/>
        <w:t>and </w:t>
      </w:r>
      <w:r>
        <w:rPr>
          <w:b/>
        </w:rPr>
        <w:t>R </w:t>
      </w:r>
      <w:r>
        <w:rPr/>
        <w:t>are often referred to as "basic random variables" (where the upper case letter is used for denoting random variables) and may be collectively represented by a random vector </w:t>
      </w:r>
      <w:r>
        <w:rPr>
          <w:b/>
        </w:rPr>
        <w:t>X</w:t>
      </w:r>
      <w:r>
        <w:rPr/>
        <w:t>.</w:t>
      </w:r>
    </w:p>
    <w:p>
      <w:pPr>
        <w:pStyle w:val="BodyText"/>
        <w:rPr>
          <w:sz w:val="32"/>
        </w:rPr>
      </w:pPr>
    </w:p>
    <w:p>
      <w:pPr>
        <w:pStyle w:val="BodyText"/>
        <w:spacing w:line="283" w:lineRule="auto"/>
        <w:ind w:left="177" w:right="113" w:hanging="1"/>
        <w:jc w:val="both"/>
      </w:pPr>
      <w:r>
        <w:rPr/>
        <w:t>In this context, failure is a probabilistic event and its probability of occurrence, </w:t>
      </w:r>
      <w:r>
        <w:rPr>
          <w:i/>
        </w:rPr>
        <w:t>P</w:t>
      </w:r>
      <w:r>
        <w:rPr>
          <w:i/>
          <w:position w:val="-3"/>
          <w:sz w:val="22"/>
        </w:rPr>
        <w:t>f</w:t>
      </w:r>
      <w:r>
        <w:rPr/>
        <w:t>, is given by:</w:t>
      </w:r>
    </w:p>
    <w:p>
      <w:pPr>
        <w:pStyle w:val="BodyText"/>
        <w:spacing w:before="1"/>
        <w:rPr>
          <w:sz w:val="34"/>
        </w:rPr>
      </w:pPr>
    </w:p>
    <w:p>
      <w:pPr>
        <w:pStyle w:val="BodyText"/>
        <w:tabs>
          <w:tab w:pos="7978" w:val="left" w:leader="none"/>
        </w:tabs>
        <w:spacing w:line="592" w:lineRule="auto"/>
        <w:ind w:left="177" w:right="777" w:firstLine="1418"/>
      </w:pPr>
      <w:r>
        <w:rPr>
          <w:i/>
        </w:rPr>
        <w:t>P</w:t>
      </w:r>
      <w:r>
        <w:rPr>
          <w:i/>
          <w:position w:val="-3"/>
          <w:sz w:val="22"/>
        </w:rPr>
        <w:t>f  </w:t>
      </w:r>
      <w:r>
        <w:rPr/>
        <w:t>= Prob { </w:t>
      </w:r>
      <w:r>
        <w:rPr>
          <w:i/>
        </w:rPr>
        <w:t>g </w:t>
      </w:r>
      <w:r>
        <w:rPr/>
        <w:t>(</w:t>
      </w:r>
      <w:r>
        <w:rPr>
          <w:b/>
        </w:rPr>
        <w:t>X</w:t>
      </w:r>
      <w:r>
        <w:rPr/>
        <w:t>) </w:t>
      </w:r>
      <w:r>
        <w:rPr>
          <w:rFonts w:ascii="Arial" w:hAnsi="Arial"/>
        </w:rPr>
        <w:t>≤ </w:t>
      </w:r>
      <w:r>
        <w:rPr/>
        <w:t>0 } = Prob { M </w:t>
      </w:r>
      <w:r>
        <w:rPr>
          <w:rFonts w:ascii="Arial" w:hAnsi="Arial"/>
        </w:rPr>
        <w:t>≤</w:t>
      </w:r>
      <w:r>
        <w:rPr>
          <w:rFonts w:ascii="Arial" w:hAnsi="Arial"/>
          <w:spacing w:val="-25"/>
        </w:rPr>
        <w:t> </w:t>
      </w:r>
      <w:r>
        <w:rPr/>
        <w:t>0</w:t>
      </w:r>
      <w:r>
        <w:rPr>
          <w:spacing w:val="-2"/>
        </w:rPr>
        <w:t> </w:t>
      </w:r>
      <w:r>
        <w:rPr/>
        <w:t>}</w:t>
        <w:tab/>
        <w:t>(C.3a) where, M = </w:t>
      </w:r>
      <w:r>
        <w:rPr>
          <w:i/>
        </w:rPr>
        <w:t>g </w:t>
      </w:r>
      <w:r>
        <w:rPr/>
        <w:t>(</w:t>
      </w:r>
      <w:r>
        <w:rPr>
          <w:b/>
        </w:rPr>
        <w:t>X</w:t>
      </w:r>
      <w:r>
        <w:rPr/>
        <w:t>). Note that M is also a random variable, called the safety</w:t>
      </w:r>
      <w:r>
        <w:rPr>
          <w:spacing w:val="-24"/>
        </w:rPr>
        <w:t> </w:t>
      </w:r>
      <w:r>
        <w:rPr/>
        <w:t>margin.</w:t>
      </w:r>
    </w:p>
    <w:p>
      <w:pPr>
        <w:pStyle w:val="BodyText"/>
        <w:spacing w:before="41"/>
        <w:ind w:left="177"/>
      </w:pPr>
      <w:r>
        <w:rPr/>
        <w:t>If the limit state function is expressed in the form of eqn (C.2), eqn (C.3a) can be written as</w:t>
      </w:r>
    </w:p>
    <w:p>
      <w:pPr>
        <w:spacing w:before="83"/>
        <w:ind w:left="1595" w:right="0" w:firstLine="0"/>
        <w:jc w:val="left"/>
        <w:rPr>
          <w:sz w:val="24"/>
        </w:rPr>
      </w:pPr>
      <w:r>
        <w:rPr>
          <w:i/>
          <w:sz w:val="24"/>
        </w:rPr>
        <w:t>P</w:t>
      </w:r>
      <w:r>
        <w:rPr>
          <w:i/>
          <w:position w:val="-3"/>
          <w:sz w:val="22"/>
        </w:rPr>
        <w:t>f </w:t>
      </w:r>
      <w:r>
        <w:rPr>
          <w:sz w:val="24"/>
        </w:rPr>
        <w:t>= Prob { </w:t>
      </w:r>
      <w:r>
        <w:rPr>
          <w:i/>
          <w:sz w:val="24"/>
        </w:rPr>
        <w:t>r </w:t>
      </w:r>
      <w:r>
        <w:rPr>
          <w:sz w:val="24"/>
        </w:rPr>
        <w:t>(</w:t>
      </w:r>
      <w:r>
        <w:rPr>
          <w:b/>
          <w:sz w:val="24"/>
        </w:rPr>
        <w:t>R</w:t>
      </w:r>
      <w:r>
        <w:rPr>
          <w:sz w:val="24"/>
        </w:rPr>
        <w:t>) </w:t>
      </w:r>
      <w:r>
        <w:rPr>
          <w:rFonts w:ascii="Arial" w:hAnsi="Arial"/>
          <w:sz w:val="24"/>
        </w:rPr>
        <w:t>≤ </w:t>
      </w:r>
      <w:r>
        <w:rPr>
          <w:i/>
          <w:sz w:val="24"/>
        </w:rPr>
        <w:t>s </w:t>
      </w:r>
      <w:r>
        <w:rPr>
          <w:sz w:val="24"/>
        </w:rPr>
        <w:t>(</w:t>
      </w:r>
      <w:r>
        <w:rPr>
          <w:b/>
          <w:sz w:val="24"/>
        </w:rPr>
        <w:t>S</w:t>
      </w:r>
      <w:r>
        <w:rPr>
          <w:sz w:val="24"/>
        </w:rPr>
        <w:t>) } = Prob { R </w:t>
      </w:r>
      <w:r>
        <w:rPr>
          <w:rFonts w:ascii="Arial" w:hAnsi="Arial"/>
          <w:sz w:val="24"/>
        </w:rPr>
        <w:t>≤ </w:t>
      </w:r>
      <w:r>
        <w:rPr>
          <w:sz w:val="24"/>
        </w:rPr>
        <w:t>S }</w:t>
      </w:r>
    </w:p>
    <w:p>
      <w:pPr>
        <w:pStyle w:val="BodyText"/>
        <w:spacing w:before="6"/>
        <w:rPr>
          <w:sz w:val="35"/>
        </w:rPr>
      </w:pPr>
    </w:p>
    <w:p>
      <w:pPr>
        <w:pStyle w:val="BodyText"/>
        <w:spacing w:line="312" w:lineRule="auto"/>
        <w:ind w:left="177" w:right="112" w:hanging="1"/>
        <w:jc w:val="both"/>
      </w:pPr>
      <w:r>
        <w:rPr/>
        <w:t>where R = </w:t>
      </w:r>
      <w:r>
        <w:rPr>
          <w:i/>
        </w:rPr>
        <w:t>r </w:t>
      </w:r>
      <w:r>
        <w:rPr/>
        <w:t>(</w:t>
      </w:r>
      <w:r>
        <w:rPr>
          <w:b/>
        </w:rPr>
        <w:t>R</w:t>
      </w:r>
      <w:r>
        <w:rPr/>
        <w:t>) and S = </w:t>
      </w:r>
      <w:r>
        <w:rPr>
          <w:i/>
        </w:rPr>
        <w:t>s </w:t>
      </w:r>
      <w:r>
        <w:rPr/>
        <w:t>(</w:t>
      </w:r>
      <w:r>
        <w:rPr>
          <w:b/>
        </w:rPr>
        <w:t>S</w:t>
      </w:r>
      <w:r>
        <w:rPr/>
        <w:t>) are random variables associated with resistance and loading respectively. This expression is useful in the context of the discussion in section 2.2 on code formats and partial safety factors but will not be further used herein.</w:t>
      </w:r>
    </w:p>
    <w:p>
      <w:pPr>
        <w:pStyle w:val="BodyText"/>
        <w:spacing w:before="7"/>
        <w:rPr>
          <w:sz w:val="31"/>
        </w:rPr>
      </w:pPr>
    </w:p>
    <w:p>
      <w:pPr>
        <w:pStyle w:val="BodyText"/>
        <w:ind w:left="177"/>
        <w:jc w:val="both"/>
      </w:pPr>
      <w:r>
        <w:rPr/>
        <w:t>The failure probability defined in eqn (A.5a) can also be expressed as follows:</w:t>
      </w:r>
    </w:p>
    <w:p>
      <w:pPr>
        <w:pStyle w:val="BodyText"/>
        <w:rPr>
          <w:sz w:val="20"/>
        </w:rPr>
      </w:pPr>
    </w:p>
    <w:p>
      <w:pPr>
        <w:pStyle w:val="BodyText"/>
        <w:spacing w:before="4"/>
        <w:rPr>
          <w:sz w:val="18"/>
        </w:rPr>
      </w:pPr>
    </w:p>
    <w:p>
      <w:pPr>
        <w:spacing w:after="0"/>
        <w:rPr>
          <w:sz w:val="18"/>
        </w:rPr>
        <w:sectPr>
          <w:pgSz w:w="11910" w:h="16840"/>
          <w:pgMar w:header="0" w:footer="788" w:top="1600" w:bottom="980" w:left="1240" w:right="1300"/>
        </w:sectPr>
      </w:pPr>
    </w:p>
    <w:p>
      <w:pPr>
        <w:spacing w:line="332" w:lineRule="exact" w:before="91"/>
        <w:ind w:left="1595" w:right="0" w:firstLine="0"/>
        <w:jc w:val="left"/>
        <w:rPr>
          <w:sz w:val="24"/>
        </w:rPr>
      </w:pPr>
      <w:r>
        <w:rPr/>
        <w:pict>
          <v:shape style="position:absolute;margin-left:164.580002pt;margin-top:-7.29369pt;width:9.1pt;height:40.550pt;mso-position-horizontal-relative:page;mso-position-vertical-relative:paragraph;z-index:-57904" type="#_x0000_t202" filled="false" stroked="false">
            <v:textbox inset="0,0,0,0">
              <w:txbxContent>
                <w:p>
                  <w:pPr>
                    <w:spacing w:before="46"/>
                    <w:ind w:left="0" w:right="0" w:firstLine="0"/>
                    <w:jc w:val="left"/>
                    <w:rPr>
                      <w:rFonts w:ascii="Arial" w:hAnsi="Arial"/>
                      <w:sz w:val="66"/>
                    </w:rPr>
                  </w:pPr>
                  <w:r>
                    <w:rPr>
                      <w:rFonts w:ascii="Arial" w:hAnsi="Arial"/>
                      <w:w w:val="100"/>
                      <w:sz w:val="66"/>
                    </w:rPr>
                    <w:t>∫</w:t>
                  </w:r>
                </w:p>
              </w:txbxContent>
            </v:textbox>
            <w10:wrap type="none"/>
          </v:shape>
        </w:pict>
      </w:r>
      <w:r>
        <w:rPr>
          <w:i/>
          <w:sz w:val="24"/>
        </w:rPr>
        <w:t>P</w:t>
      </w:r>
      <w:r>
        <w:rPr>
          <w:i/>
          <w:position w:val="-6"/>
          <w:sz w:val="18"/>
        </w:rPr>
        <w:t>f </w:t>
      </w:r>
      <w:r>
        <w:rPr>
          <w:sz w:val="24"/>
        </w:rPr>
        <w:t>=</w:t>
      </w:r>
    </w:p>
    <w:p>
      <w:pPr>
        <w:spacing w:line="246" w:lineRule="exact" w:before="0"/>
        <w:ind w:left="0" w:right="0" w:firstLine="0"/>
        <w:jc w:val="right"/>
        <w:rPr>
          <w:sz w:val="18"/>
        </w:rPr>
      </w:pPr>
      <w:r>
        <w:rPr>
          <w:i/>
          <w:sz w:val="18"/>
        </w:rPr>
        <w:t>g</w:t>
      </w:r>
      <w:r>
        <w:rPr>
          <w:position w:val="4"/>
          <w:sz w:val="18"/>
        </w:rPr>
        <w:t>(</w:t>
      </w:r>
      <w:r>
        <w:rPr>
          <w:b/>
          <w:position w:val="3"/>
          <w:sz w:val="18"/>
        </w:rPr>
        <w:t>x </w:t>
      </w:r>
      <w:r>
        <w:rPr>
          <w:position w:val="1"/>
          <w:sz w:val="18"/>
        </w:rPr>
        <w:t>) </w:t>
      </w:r>
      <w:r>
        <w:rPr>
          <w:rFonts w:ascii="Arial" w:hAnsi="Arial"/>
          <w:position w:val="1"/>
          <w:sz w:val="20"/>
        </w:rPr>
        <w:t>≤ </w:t>
      </w:r>
      <w:r>
        <w:rPr>
          <w:position w:val="1"/>
          <w:sz w:val="18"/>
        </w:rPr>
        <w:t>0</w:t>
      </w:r>
    </w:p>
    <w:p>
      <w:pPr>
        <w:spacing w:before="94"/>
        <w:ind w:left="-3" w:right="0" w:firstLine="0"/>
        <w:jc w:val="left"/>
        <w:rPr>
          <w:b/>
          <w:sz w:val="24"/>
        </w:rPr>
      </w:pPr>
      <w:r>
        <w:rPr/>
        <w:br w:type="column"/>
      </w:r>
      <w:r>
        <w:rPr>
          <w:i/>
          <w:sz w:val="24"/>
        </w:rPr>
        <w:t>f</w:t>
      </w:r>
      <w:r>
        <w:rPr>
          <w:b/>
          <w:sz w:val="24"/>
          <w:vertAlign w:val="subscript"/>
        </w:rPr>
        <w:t>X</w:t>
      </w:r>
      <w:r>
        <w:rPr>
          <w:b/>
          <w:sz w:val="24"/>
          <w:vertAlign w:val="baseline"/>
        </w:rPr>
        <w:t> </w:t>
      </w:r>
      <w:r>
        <w:rPr>
          <w:sz w:val="24"/>
          <w:vertAlign w:val="baseline"/>
        </w:rPr>
        <w:t>(</w:t>
      </w:r>
      <w:r>
        <w:rPr>
          <w:b/>
          <w:sz w:val="24"/>
          <w:vertAlign w:val="baseline"/>
        </w:rPr>
        <w:t>x</w:t>
      </w:r>
      <w:r>
        <w:rPr>
          <w:sz w:val="24"/>
          <w:vertAlign w:val="baseline"/>
        </w:rPr>
        <w:t>) d</w:t>
      </w:r>
      <w:r>
        <w:rPr>
          <w:b/>
          <w:sz w:val="24"/>
          <w:vertAlign w:val="baseline"/>
        </w:rPr>
        <w:t>x</w:t>
      </w:r>
    </w:p>
    <w:p>
      <w:pPr>
        <w:pStyle w:val="BodyText"/>
        <w:spacing w:before="2"/>
        <w:rPr>
          <w:b/>
        </w:rPr>
      </w:pPr>
      <w:r>
        <w:rPr/>
        <w:br w:type="column"/>
      </w:r>
      <w:r>
        <w:rPr>
          <w:b/>
        </w:rPr>
      </w:r>
    </w:p>
    <w:p>
      <w:pPr>
        <w:pStyle w:val="BodyText"/>
        <w:ind w:left="1595"/>
      </w:pPr>
      <w:r>
        <w:rPr/>
        <w:t>(C.3b)</w:t>
      </w:r>
    </w:p>
    <w:p>
      <w:pPr>
        <w:spacing w:after="0"/>
        <w:sectPr>
          <w:type w:val="continuous"/>
          <w:pgSz w:w="11910" w:h="16840"/>
          <w:pgMar w:top="580" w:bottom="280" w:left="1240" w:right="1300"/>
          <w:cols w:num="3" w:equalWidth="0">
            <w:col w:w="2825" w:space="40"/>
            <w:col w:w="911" w:space="2607"/>
            <w:col w:w="2987"/>
          </w:cols>
        </w:sectPr>
      </w:pPr>
    </w:p>
    <w:p>
      <w:pPr>
        <w:pStyle w:val="BodyText"/>
        <w:spacing w:before="7"/>
        <w:rPr>
          <w:sz w:val="16"/>
        </w:rPr>
      </w:pPr>
    </w:p>
    <w:p>
      <w:pPr>
        <w:pStyle w:val="BodyText"/>
        <w:spacing w:before="91"/>
        <w:ind w:left="177"/>
      </w:pPr>
      <w:r>
        <w:rPr/>
        <w:t>where </w:t>
      </w:r>
      <w:r>
        <w:rPr>
          <w:i/>
        </w:rPr>
        <w:t>f</w:t>
      </w:r>
      <w:r>
        <w:rPr>
          <w:b/>
          <w:position w:val="-3"/>
          <w:sz w:val="22"/>
        </w:rPr>
        <w:t>X</w:t>
      </w:r>
      <w:r>
        <w:rPr/>
        <w:t>(</w:t>
      </w:r>
      <w:r>
        <w:rPr>
          <w:b/>
        </w:rPr>
        <w:t>x</w:t>
      </w:r>
      <w:r>
        <w:rPr/>
        <w:t>) is the joint probability density function of </w:t>
      </w:r>
      <w:r>
        <w:rPr>
          <w:b/>
        </w:rPr>
        <w:t>X</w:t>
      </w:r>
      <w:r>
        <w:rPr/>
        <w:t>.</w:t>
      </w:r>
    </w:p>
    <w:p>
      <w:pPr>
        <w:pStyle w:val="BodyText"/>
        <w:spacing w:line="283" w:lineRule="auto" w:before="48"/>
        <w:ind w:left="177"/>
      </w:pPr>
      <w:r>
        <w:rPr/>
        <w:t>The reliability, </w:t>
      </w:r>
      <w:r>
        <w:rPr>
          <w:i/>
        </w:rPr>
        <w:t>P</w:t>
      </w:r>
      <w:r>
        <w:rPr>
          <w:i/>
          <w:position w:val="-3"/>
          <w:sz w:val="22"/>
        </w:rPr>
        <w:t>s</w:t>
      </w:r>
      <w:r>
        <w:rPr/>
        <w:t>, associated with the particular limit state considered is the complementary event, i.e.</w:t>
      </w:r>
    </w:p>
    <w:p>
      <w:pPr>
        <w:pStyle w:val="BodyText"/>
        <w:spacing w:before="2"/>
        <w:rPr>
          <w:sz w:val="34"/>
        </w:rPr>
      </w:pPr>
    </w:p>
    <w:p>
      <w:pPr>
        <w:tabs>
          <w:tab w:pos="7978" w:val="left" w:leader="none"/>
        </w:tabs>
        <w:spacing w:before="0"/>
        <w:ind w:left="1595" w:right="0" w:firstLine="0"/>
        <w:jc w:val="left"/>
        <w:rPr>
          <w:sz w:val="24"/>
        </w:rPr>
      </w:pPr>
      <w:r>
        <w:rPr>
          <w:i/>
          <w:sz w:val="24"/>
        </w:rPr>
        <w:t>P</w:t>
      </w:r>
      <w:r>
        <w:rPr>
          <w:i/>
          <w:position w:val="-3"/>
          <w:sz w:val="22"/>
        </w:rPr>
        <w:t>s  </w:t>
      </w:r>
      <w:r>
        <w:rPr>
          <w:sz w:val="24"/>
        </w:rPr>
        <w:t>= 1</w:t>
      </w:r>
      <w:r>
        <w:rPr>
          <w:spacing w:val="-40"/>
          <w:sz w:val="24"/>
        </w:rPr>
        <w:t> </w:t>
      </w:r>
      <w:r>
        <w:rPr>
          <w:sz w:val="24"/>
        </w:rPr>
        <w:t>-</w:t>
      </w:r>
      <w:r>
        <w:rPr>
          <w:spacing w:val="-2"/>
          <w:sz w:val="24"/>
        </w:rPr>
        <w:t> </w:t>
      </w:r>
      <w:r>
        <w:rPr>
          <w:i/>
          <w:sz w:val="24"/>
        </w:rPr>
        <w:t>P</w:t>
      </w:r>
      <w:r>
        <w:rPr>
          <w:i/>
          <w:position w:val="-3"/>
          <w:sz w:val="22"/>
        </w:rPr>
        <w:t>f</w:t>
        <w:tab/>
      </w:r>
      <w:r>
        <w:rPr>
          <w:sz w:val="24"/>
        </w:rPr>
        <w:t>(C.4)</w:t>
      </w:r>
    </w:p>
    <w:p>
      <w:pPr>
        <w:pStyle w:val="BodyText"/>
        <w:spacing w:before="7"/>
        <w:rPr>
          <w:sz w:val="34"/>
        </w:rPr>
      </w:pPr>
    </w:p>
    <w:p>
      <w:pPr>
        <w:pStyle w:val="BodyText"/>
        <w:spacing w:line="309" w:lineRule="auto"/>
        <w:ind w:left="177" w:hanging="1"/>
      </w:pPr>
      <w:r>
        <w:rPr/>
        <w:t>In recent years, a standard reliability measure, the reliability index </w:t>
      </w:r>
      <w:r>
        <w:rPr>
          <w:rFonts w:ascii="Arial" w:hAnsi="Arial"/>
          <w:i/>
          <w:sz w:val="25"/>
        </w:rPr>
        <w:t>β</w:t>
      </w:r>
      <w:r>
        <w:rPr/>
        <w:t>, has been adopted which has the following relationship with the failure probability</w:t>
      </w:r>
    </w:p>
    <w:p>
      <w:pPr>
        <w:pStyle w:val="BodyText"/>
        <w:spacing w:before="4"/>
        <w:rPr>
          <w:sz w:val="23"/>
        </w:rPr>
      </w:pPr>
    </w:p>
    <w:p>
      <w:pPr>
        <w:tabs>
          <w:tab w:pos="7978" w:val="left" w:leader="none"/>
        </w:tabs>
        <w:spacing w:before="0"/>
        <w:ind w:left="1595" w:right="0" w:firstLine="0"/>
        <w:jc w:val="left"/>
        <w:rPr>
          <w:sz w:val="24"/>
        </w:rPr>
      </w:pPr>
      <w:r>
        <w:rPr>
          <w:rFonts w:ascii="Arial" w:hAnsi="Arial"/>
          <w:i/>
          <w:sz w:val="25"/>
        </w:rPr>
        <w:t>β </w:t>
      </w:r>
      <w:r>
        <w:rPr>
          <w:sz w:val="24"/>
        </w:rPr>
        <w:t>= - </w:t>
      </w:r>
      <w:r>
        <w:rPr>
          <w:rFonts w:ascii="Arial" w:hAnsi="Arial"/>
          <w:sz w:val="24"/>
        </w:rPr>
        <w:t>Φ</w:t>
      </w:r>
      <w:r>
        <w:rPr>
          <w:position w:val="17"/>
          <w:sz w:val="16"/>
        </w:rPr>
        <w:t>-1</w:t>
      </w:r>
      <w:r>
        <w:rPr>
          <w:sz w:val="24"/>
        </w:rPr>
        <w:t>(</w:t>
      </w:r>
      <w:r>
        <w:rPr>
          <w:i/>
          <w:sz w:val="24"/>
        </w:rPr>
        <w:t>P</w:t>
      </w:r>
      <w:r>
        <w:rPr>
          <w:i/>
          <w:position w:val="-3"/>
          <w:sz w:val="24"/>
        </w:rPr>
        <w:t>f</w:t>
      </w:r>
      <w:r>
        <w:rPr>
          <w:sz w:val="24"/>
        </w:rPr>
        <w:t>)</w:t>
      </w:r>
      <w:r>
        <w:rPr>
          <w:spacing w:val="-24"/>
          <w:sz w:val="24"/>
        </w:rPr>
        <w:t> </w:t>
      </w:r>
      <w:r>
        <w:rPr>
          <w:sz w:val="24"/>
        </w:rPr>
        <w:t>=</w:t>
      </w:r>
      <w:r>
        <w:rPr>
          <w:spacing w:val="-4"/>
          <w:sz w:val="24"/>
        </w:rPr>
        <w:t> </w:t>
      </w:r>
      <w:r>
        <w:rPr>
          <w:rFonts w:ascii="Arial" w:hAnsi="Arial"/>
          <w:sz w:val="24"/>
        </w:rPr>
        <w:t>Φ</w:t>
      </w:r>
      <w:r>
        <w:rPr>
          <w:position w:val="17"/>
          <w:sz w:val="16"/>
        </w:rPr>
        <w:t>-1</w:t>
      </w:r>
      <w:r>
        <w:rPr>
          <w:sz w:val="24"/>
        </w:rPr>
        <w:t>(</w:t>
      </w:r>
      <w:r>
        <w:rPr>
          <w:i/>
          <w:sz w:val="24"/>
        </w:rPr>
        <w:t>P</w:t>
      </w:r>
      <w:r>
        <w:rPr>
          <w:i/>
          <w:position w:val="-3"/>
          <w:sz w:val="24"/>
        </w:rPr>
        <w:t>s</w:t>
      </w:r>
      <w:r>
        <w:rPr>
          <w:sz w:val="24"/>
        </w:rPr>
        <w:t>)</w:t>
        <w:tab/>
        <w:t>(C</w:t>
      </w:r>
      <w:r>
        <w:rPr>
          <w:i/>
          <w:sz w:val="24"/>
        </w:rPr>
        <w:t>.</w:t>
      </w:r>
      <w:r>
        <w:rPr>
          <w:sz w:val="24"/>
        </w:rPr>
        <w:t>5)</w:t>
      </w:r>
    </w:p>
    <w:p>
      <w:pPr>
        <w:spacing w:line="140" w:lineRule="exact" w:before="308"/>
        <w:ind w:left="1007" w:right="0" w:firstLine="0"/>
        <w:jc w:val="left"/>
        <w:rPr>
          <w:sz w:val="16"/>
        </w:rPr>
      </w:pPr>
      <w:r>
        <w:rPr/>
        <w:pict>
          <v:shape style="position:absolute;margin-left:103.199951pt;margin-top:19.296022pt;width:9.2pt;height:14.75pt;mso-position-horizontal-relative:page;mso-position-vertical-relative:paragraph;z-index:-57880" type="#_x0000_t202" filled="false" stroked="false">
            <v:textbox inset="0,0,0,0">
              <w:txbxContent>
                <w:p>
                  <w:pPr>
                    <w:pStyle w:val="BodyText"/>
                    <w:spacing w:before="16"/>
                    <w:rPr>
                      <w:rFonts w:ascii="Arial" w:hAnsi="Arial"/>
                    </w:rPr>
                  </w:pPr>
                  <w:r>
                    <w:rPr>
                      <w:rFonts w:ascii="Arial" w:hAnsi="Arial"/>
                      <w:w w:val="95"/>
                    </w:rPr>
                    <w:t>Φ</w:t>
                  </w:r>
                </w:p>
              </w:txbxContent>
            </v:textbox>
            <w10:wrap type="none"/>
          </v:shape>
        </w:pict>
      </w:r>
      <w:r>
        <w:rPr>
          <w:sz w:val="16"/>
        </w:rPr>
        <w:t>-1</w:t>
      </w:r>
    </w:p>
    <w:p>
      <w:pPr>
        <w:pStyle w:val="BodyText"/>
        <w:spacing w:line="232" w:lineRule="exact"/>
        <w:ind w:left="177"/>
        <w:jc w:val="both"/>
      </w:pPr>
      <w:r>
        <w:rPr/>
        <w:t>where (.) is the inverse of the standard normal distribution function, see Table A.1.</w:t>
      </w:r>
    </w:p>
    <w:p>
      <w:pPr>
        <w:pStyle w:val="BodyText"/>
        <w:spacing w:before="9"/>
        <w:rPr>
          <w:sz w:val="37"/>
        </w:rPr>
      </w:pPr>
    </w:p>
    <w:p>
      <w:pPr>
        <w:pStyle w:val="Heading2"/>
        <w:ind w:left="1595" w:firstLine="0"/>
        <w:rPr>
          <w:rFonts w:ascii="TimesNewRomanPS-BoldItalicMT" w:hAnsi="TimesNewRomanPS-BoldItalicMT"/>
          <w:i/>
          <w:sz w:val="22"/>
        </w:rPr>
      </w:pPr>
      <w:r>
        <w:rPr/>
        <w:t>Table C.1: Relationship between </w:t>
      </w:r>
      <w:r>
        <w:rPr>
          <w:rFonts w:ascii="Arial-BoldItalicMT" w:hAnsi="Arial-BoldItalicMT"/>
          <w:i/>
          <w:sz w:val="25"/>
        </w:rPr>
        <w:t>β </w:t>
      </w:r>
      <w:r>
        <w:rPr/>
        <w:t>and </w:t>
      </w:r>
      <w:r>
        <w:rPr>
          <w:rFonts w:ascii="TimesNewRomanPS-BoldItalicMT" w:hAnsi="TimesNewRomanPS-BoldItalicMT"/>
          <w:i/>
        </w:rPr>
        <w:t>P</w:t>
      </w:r>
      <w:r>
        <w:rPr>
          <w:rFonts w:ascii="TimesNewRomanPS-BoldItalicMT" w:hAnsi="TimesNewRomanPS-BoldItalicMT"/>
          <w:i/>
          <w:position w:val="-3"/>
          <w:sz w:val="22"/>
        </w:rPr>
        <w:t>f</w:t>
      </w:r>
    </w:p>
    <w:tbl>
      <w:tblPr>
        <w:tblW w:w="0" w:type="auto"/>
        <w:jc w:val="left"/>
        <w:tblInd w:w="12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860"/>
        <w:gridCol w:w="860"/>
        <w:gridCol w:w="860"/>
        <w:gridCol w:w="860"/>
        <w:gridCol w:w="861"/>
        <w:gridCol w:w="860"/>
        <w:gridCol w:w="860"/>
        <w:gridCol w:w="861"/>
      </w:tblGrid>
      <w:tr>
        <w:trPr>
          <w:trHeight w:val="728" w:hRule="atLeast"/>
        </w:trPr>
        <w:tc>
          <w:tcPr>
            <w:tcW w:w="860" w:type="dxa"/>
          </w:tcPr>
          <w:p>
            <w:pPr>
              <w:pStyle w:val="TableParagraph"/>
              <w:spacing w:before="50"/>
              <w:ind w:left="305" w:right="291"/>
              <w:rPr>
                <w:i/>
                <w:sz w:val="22"/>
              </w:rPr>
            </w:pPr>
            <w:r>
              <w:rPr>
                <w:i/>
                <w:sz w:val="24"/>
              </w:rPr>
              <w:t>P</w:t>
            </w:r>
            <w:r>
              <w:rPr>
                <w:i/>
                <w:position w:val="-3"/>
                <w:sz w:val="22"/>
              </w:rPr>
              <w:t>f</w:t>
            </w:r>
          </w:p>
        </w:tc>
        <w:tc>
          <w:tcPr>
            <w:tcW w:w="860" w:type="dxa"/>
            <w:tcBorders>
              <w:right w:val="nil"/>
            </w:tcBorders>
          </w:tcPr>
          <w:p>
            <w:pPr>
              <w:pStyle w:val="TableParagraph"/>
              <w:spacing w:before="7"/>
              <w:ind w:left="198" w:right="191"/>
              <w:rPr>
                <w:sz w:val="22"/>
              </w:rPr>
            </w:pPr>
            <w:r>
              <w:rPr>
                <w:position w:val="-5"/>
                <w:sz w:val="24"/>
              </w:rPr>
              <w:t>10</w:t>
            </w:r>
            <w:r>
              <w:rPr>
                <w:sz w:val="22"/>
              </w:rPr>
              <w:t>-1</w:t>
            </w:r>
          </w:p>
        </w:tc>
        <w:tc>
          <w:tcPr>
            <w:tcW w:w="860" w:type="dxa"/>
            <w:tcBorders>
              <w:left w:val="nil"/>
              <w:right w:val="nil"/>
            </w:tcBorders>
          </w:tcPr>
          <w:p>
            <w:pPr>
              <w:pStyle w:val="TableParagraph"/>
              <w:spacing w:before="7"/>
              <w:ind w:left="226"/>
              <w:jc w:val="left"/>
              <w:rPr>
                <w:sz w:val="22"/>
              </w:rPr>
            </w:pPr>
            <w:r>
              <w:rPr>
                <w:position w:val="-5"/>
                <w:sz w:val="24"/>
              </w:rPr>
              <w:t>10</w:t>
            </w:r>
            <w:r>
              <w:rPr>
                <w:sz w:val="22"/>
              </w:rPr>
              <w:t>-2</w:t>
            </w:r>
          </w:p>
        </w:tc>
        <w:tc>
          <w:tcPr>
            <w:tcW w:w="860" w:type="dxa"/>
            <w:tcBorders>
              <w:left w:val="nil"/>
              <w:right w:val="nil"/>
            </w:tcBorders>
          </w:tcPr>
          <w:p>
            <w:pPr>
              <w:pStyle w:val="TableParagraph"/>
              <w:spacing w:before="7"/>
              <w:ind w:left="204" w:right="190"/>
              <w:rPr>
                <w:sz w:val="22"/>
              </w:rPr>
            </w:pPr>
            <w:r>
              <w:rPr>
                <w:position w:val="-5"/>
                <w:sz w:val="24"/>
              </w:rPr>
              <w:t>10</w:t>
            </w:r>
            <w:r>
              <w:rPr>
                <w:sz w:val="22"/>
              </w:rPr>
              <w:t>-3</w:t>
            </w:r>
          </w:p>
        </w:tc>
        <w:tc>
          <w:tcPr>
            <w:tcW w:w="861" w:type="dxa"/>
            <w:tcBorders>
              <w:left w:val="nil"/>
              <w:right w:val="nil"/>
            </w:tcBorders>
          </w:tcPr>
          <w:p>
            <w:pPr>
              <w:pStyle w:val="TableParagraph"/>
              <w:spacing w:before="7"/>
              <w:ind w:left="205" w:right="191"/>
              <w:rPr>
                <w:sz w:val="22"/>
              </w:rPr>
            </w:pPr>
            <w:r>
              <w:rPr>
                <w:position w:val="-5"/>
                <w:sz w:val="24"/>
              </w:rPr>
              <w:t>10</w:t>
            </w:r>
            <w:r>
              <w:rPr>
                <w:sz w:val="22"/>
              </w:rPr>
              <w:t>-4</w:t>
            </w:r>
          </w:p>
        </w:tc>
        <w:tc>
          <w:tcPr>
            <w:tcW w:w="860" w:type="dxa"/>
            <w:tcBorders>
              <w:left w:val="nil"/>
              <w:right w:val="nil"/>
            </w:tcBorders>
          </w:tcPr>
          <w:p>
            <w:pPr>
              <w:pStyle w:val="TableParagraph"/>
              <w:spacing w:before="7"/>
              <w:ind w:left="204" w:right="191"/>
              <w:rPr>
                <w:sz w:val="22"/>
              </w:rPr>
            </w:pPr>
            <w:r>
              <w:rPr>
                <w:position w:val="-5"/>
                <w:sz w:val="24"/>
              </w:rPr>
              <w:t>10</w:t>
            </w:r>
            <w:r>
              <w:rPr>
                <w:sz w:val="22"/>
              </w:rPr>
              <w:t>-5</w:t>
            </w:r>
          </w:p>
        </w:tc>
        <w:tc>
          <w:tcPr>
            <w:tcW w:w="860" w:type="dxa"/>
            <w:tcBorders>
              <w:left w:val="nil"/>
              <w:right w:val="nil"/>
            </w:tcBorders>
          </w:tcPr>
          <w:p>
            <w:pPr>
              <w:pStyle w:val="TableParagraph"/>
              <w:spacing w:before="7"/>
              <w:ind w:left="224"/>
              <w:jc w:val="left"/>
              <w:rPr>
                <w:sz w:val="22"/>
              </w:rPr>
            </w:pPr>
            <w:r>
              <w:rPr>
                <w:position w:val="-5"/>
                <w:sz w:val="24"/>
              </w:rPr>
              <w:t>10</w:t>
            </w:r>
            <w:r>
              <w:rPr>
                <w:sz w:val="22"/>
              </w:rPr>
              <w:t>-6</w:t>
            </w:r>
          </w:p>
        </w:tc>
        <w:tc>
          <w:tcPr>
            <w:tcW w:w="861" w:type="dxa"/>
            <w:tcBorders>
              <w:left w:val="nil"/>
            </w:tcBorders>
          </w:tcPr>
          <w:p>
            <w:pPr>
              <w:pStyle w:val="TableParagraph"/>
              <w:spacing w:before="7"/>
              <w:ind w:left="204" w:right="185"/>
              <w:rPr>
                <w:sz w:val="22"/>
              </w:rPr>
            </w:pPr>
            <w:r>
              <w:rPr>
                <w:position w:val="-5"/>
                <w:sz w:val="24"/>
              </w:rPr>
              <w:t>10</w:t>
            </w:r>
            <w:r>
              <w:rPr>
                <w:sz w:val="22"/>
              </w:rPr>
              <w:t>-7</w:t>
            </w:r>
          </w:p>
        </w:tc>
      </w:tr>
      <w:tr>
        <w:trPr>
          <w:trHeight w:val="696" w:hRule="atLeast"/>
        </w:trPr>
        <w:tc>
          <w:tcPr>
            <w:tcW w:w="860" w:type="dxa"/>
          </w:tcPr>
          <w:p>
            <w:pPr>
              <w:pStyle w:val="TableParagraph"/>
              <w:spacing w:before="39"/>
              <w:ind w:left="0" w:right="44"/>
              <w:rPr>
                <w:rFonts w:ascii="Arial" w:hAnsi="Arial"/>
                <w:i/>
                <w:sz w:val="25"/>
              </w:rPr>
            </w:pPr>
            <w:r>
              <w:rPr>
                <w:rFonts w:ascii="Arial" w:hAnsi="Arial"/>
                <w:i/>
                <w:w w:val="92"/>
                <w:sz w:val="25"/>
              </w:rPr>
              <w:t>β</w:t>
            </w:r>
          </w:p>
        </w:tc>
        <w:tc>
          <w:tcPr>
            <w:tcW w:w="860" w:type="dxa"/>
            <w:tcBorders>
              <w:right w:val="nil"/>
            </w:tcBorders>
          </w:tcPr>
          <w:p>
            <w:pPr>
              <w:pStyle w:val="TableParagraph"/>
              <w:spacing w:before="48"/>
              <w:ind w:left="197" w:right="191"/>
              <w:rPr>
                <w:sz w:val="24"/>
              </w:rPr>
            </w:pPr>
            <w:r>
              <w:rPr>
                <w:sz w:val="24"/>
              </w:rPr>
              <w:t>1.3</w:t>
            </w:r>
          </w:p>
        </w:tc>
        <w:tc>
          <w:tcPr>
            <w:tcW w:w="860" w:type="dxa"/>
            <w:tcBorders>
              <w:left w:val="nil"/>
              <w:right w:val="nil"/>
            </w:tcBorders>
          </w:tcPr>
          <w:p>
            <w:pPr>
              <w:pStyle w:val="TableParagraph"/>
              <w:spacing w:before="48"/>
              <w:ind w:left="287"/>
              <w:jc w:val="left"/>
              <w:rPr>
                <w:sz w:val="24"/>
              </w:rPr>
            </w:pPr>
            <w:r>
              <w:rPr>
                <w:sz w:val="24"/>
              </w:rPr>
              <w:t>2.3</w:t>
            </w:r>
          </w:p>
        </w:tc>
        <w:tc>
          <w:tcPr>
            <w:tcW w:w="860" w:type="dxa"/>
            <w:tcBorders>
              <w:left w:val="nil"/>
              <w:right w:val="nil"/>
            </w:tcBorders>
          </w:tcPr>
          <w:p>
            <w:pPr>
              <w:pStyle w:val="TableParagraph"/>
              <w:spacing w:before="48"/>
              <w:ind w:left="204" w:right="191"/>
              <w:rPr>
                <w:sz w:val="24"/>
              </w:rPr>
            </w:pPr>
            <w:r>
              <w:rPr>
                <w:sz w:val="24"/>
              </w:rPr>
              <w:t>3.1</w:t>
            </w:r>
          </w:p>
        </w:tc>
        <w:tc>
          <w:tcPr>
            <w:tcW w:w="861" w:type="dxa"/>
            <w:tcBorders>
              <w:left w:val="nil"/>
              <w:right w:val="nil"/>
            </w:tcBorders>
          </w:tcPr>
          <w:p>
            <w:pPr>
              <w:pStyle w:val="TableParagraph"/>
              <w:spacing w:before="48"/>
              <w:ind w:left="203" w:right="191"/>
              <w:rPr>
                <w:sz w:val="24"/>
              </w:rPr>
            </w:pPr>
            <w:r>
              <w:rPr>
                <w:sz w:val="24"/>
              </w:rPr>
              <w:t>3.7</w:t>
            </w:r>
          </w:p>
        </w:tc>
        <w:tc>
          <w:tcPr>
            <w:tcW w:w="860" w:type="dxa"/>
            <w:tcBorders>
              <w:left w:val="nil"/>
              <w:right w:val="nil"/>
            </w:tcBorders>
          </w:tcPr>
          <w:p>
            <w:pPr>
              <w:pStyle w:val="TableParagraph"/>
              <w:spacing w:before="48"/>
              <w:ind w:left="202" w:right="191"/>
              <w:rPr>
                <w:sz w:val="24"/>
              </w:rPr>
            </w:pPr>
            <w:r>
              <w:rPr>
                <w:sz w:val="24"/>
              </w:rPr>
              <w:t>4.2</w:t>
            </w:r>
          </w:p>
        </w:tc>
        <w:tc>
          <w:tcPr>
            <w:tcW w:w="860" w:type="dxa"/>
            <w:tcBorders>
              <w:left w:val="nil"/>
              <w:right w:val="nil"/>
            </w:tcBorders>
          </w:tcPr>
          <w:p>
            <w:pPr>
              <w:pStyle w:val="TableParagraph"/>
              <w:spacing w:before="48"/>
              <w:ind w:left="285"/>
              <w:jc w:val="left"/>
              <w:rPr>
                <w:sz w:val="24"/>
              </w:rPr>
            </w:pPr>
            <w:r>
              <w:rPr>
                <w:sz w:val="24"/>
              </w:rPr>
              <w:t>4.7</w:t>
            </w:r>
          </w:p>
        </w:tc>
        <w:tc>
          <w:tcPr>
            <w:tcW w:w="861" w:type="dxa"/>
            <w:tcBorders>
              <w:left w:val="nil"/>
            </w:tcBorders>
          </w:tcPr>
          <w:p>
            <w:pPr>
              <w:pStyle w:val="TableParagraph"/>
              <w:spacing w:before="48"/>
              <w:ind w:left="202" w:right="185"/>
              <w:rPr>
                <w:sz w:val="24"/>
              </w:rPr>
            </w:pPr>
            <w:r>
              <w:rPr>
                <w:sz w:val="24"/>
              </w:rPr>
              <w:t>5.2</w:t>
            </w:r>
          </w:p>
        </w:tc>
      </w:tr>
    </w:tbl>
    <w:p>
      <w:pPr>
        <w:pStyle w:val="BodyText"/>
        <w:spacing w:before="5"/>
        <w:rPr>
          <w:rFonts w:ascii="TimesNewRomanPS-BoldItalicMT"/>
          <w:b/>
          <w:i/>
          <w:sz w:val="35"/>
        </w:rPr>
      </w:pPr>
    </w:p>
    <w:p>
      <w:pPr>
        <w:pStyle w:val="BodyText"/>
        <w:spacing w:line="312" w:lineRule="auto"/>
        <w:ind w:left="177" w:right="111"/>
        <w:jc w:val="both"/>
      </w:pPr>
      <w:r>
        <w:rPr/>
        <w:t>In most engineering applications, complete statistical information about the basic random variables </w:t>
      </w:r>
      <w:r>
        <w:rPr>
          <w:b/>
        </w:rPr>
        <w:t>X </w:t>
      </w:r>
      <w:r>
        <w:rPr/>
        <w:t>is not available and, furthermore, the function </w:t>
      </w:r>
      <w:r>
        <w:rPr>
          <w:i/>
        </w:rPr>
        <w:t>g</w:t>
      </w:r>
      <w:r>
        <w:rPr/>
        <w:t>(.) is a mathematical model which idealizes the limit state. In this respect, the probability of failure evaluated from eqn (C.3a) or (C.3b) is a point estimate given a particular set of assumptions regarding probabilistic modelling and a particular mathematical model for </w:t>
      </w:r>
      <w:r>
        <w:rPr>
          <w:i/>
        </w:rPr>
        <w:t>g</w:t>
      </w:r>
      <w:r>
        <w:rPr/>
        <w:t>(.). The uncertainties associated with these models can be represented in terms of a vector of random parameters </w:t>
      </w:r>
      <w:r>
        <w:rPr>
          <w:b/>
        </w:rPr>
        <w:t>Q</w:t>
      </w:r>
      <w:r>
        <w:rPr/>
        <w:t>, and hence the limit state function may be re-written as </w:t>
      </w:r>
      <w:r>
        <w:rPr>
          <w:i/>
        </w:rPr>
        <w:t>g</w:t>
      </w:r>
      <w:r>
        <w:rPr/>
        <w:t>(</w:t>
      </w:r>
      <w:r>
        <w:rPr>
          <w:b/>
        </w:rPr>
        <w:t>X, Q</w:t>
      </w:r>
      <w:r>
        <w:rPr/>
        <w:t>). It is important to note that the nature of uncertainties represented by the basic random variables </w:t>
      </w:r>
      <w:r>
        <w:rPr>
          <w:b/>
        </w:rPr>
        <w:t>X </w:t>
      </w:r>
      <w:r>
        <w:rPr/>
        <w:t>and the parameters </w:t>
      </w:r>
      <w:r>
        <w:rPr>
          <w:b/>
        </w:rPr>
        <w:t>Q </w:t>
      </w:r>
      <w:r>
        <w:rPr/>
        <w:t>is different. Whereas uncetainties in </w:t>
      </w:r>
      <w:r>
        <w:rPr>
          <w:b/>
        </w:rPr>
        <w:t>X </w:t>
      </w:r>
      <w:r>
        <w:rPr/>
        <w:t>cannot be influenced without changing the physical characteristics of the problem (e.g. changing the steel grade), uncertainties in </w:t>
      </w:r>
      <w:r>
        <w:rPr>
          <w:b/>
        </w:rPr>
        <w:t>Q </w:t>
      </w:r>
      <w:r>
        <w:rPr/>
        <w:t>can be influenced by the use of alternative methods and collection of additional data.</w:t>
      </w:r>
    </w:p>
    <w:p>
      <w:pPr>
        <w:pStyle w:val="BodyText"/>
        <w:spacing w:before="5"/>
        <w:rPr>
          <w:sz w:val="32"/>
        </w:rPr>
      </w:pPr>
    </w:p>
    <w:p>
      <w:pPr>
        <w:pStyle w:val="BodyText"/>
        <w:spacing w:before="1"/>
        <w:ind w:left="177"/>
        <w:jc w:val="both"/>
      </w:pPr>
      <w:r>
        <w:rPr/>
        <w:pict>
          <v:shape style="position:absolute;margin-left:179.460007pt;margin-top:10.586258pt;width:9.1pt;height:40.550pt;mso-position-horizontal-relative:page;mso-position-vertical-relative:paragraph;z-index:-57856" type="#_x0000_t202" filled="false" stroked="false">
            <v:textbox inset="0,0,0,0">
              <w:txbxContent>
                <w:p>
                  <w:pPr>
                    <w:spacing w:before="46"/>
                    <w:ind w:left="0" w:right="0" w:firstLine="0"/>
                    <w:jc w:val="left"/>
                    <w:rPr>
                      <w:rFonts w:ascii="Arial" w:hAnsi="Arial"/>
                      <w:sz w:val="66"/>
                    </w:rPr>
                  </w:pPr>
                  <w:r>
                    <w:rPr>
                      <w:rFonts w:ascii="Arial" w:hAnsi="Arial"/>
                      <w:w w:val="100"/>
                      <w:sz w:val="66"/>
                    </w:rPr>
                    <w:t>∫</w:t>
                  </w:r>
                </w:p>
              </w:txbxContent>
            </v:textbox>
            <w10:wrap type="none"/>
          </v:shape>
        </w:pict>
      </w:r>
      <w:r>
        <w:rPr/>
        <w:t>In this context, eqn (C.3b) may be recast as follows</w:t>
      </w:r>
    </w:p>
    <w:p>
      <w:pPr>
        <w:spacing w:after="0"/>
        <w:jc w:val="both"/>
        <w:sectPr>
          <w:pgSz w:w="11910" w:h="16840"/>
          <w:pgMar w:header="0" w:footer="788" w:top="1600" w:bottom="980" w:left="1240" w:right="1300"/>
        </w:sectPr>
      </w:pPr>
    </w:p>
    <w:p>
      <w:pPr>
        <w:spacing w:before="167"/>
        <w:ind w:left="1595" w:right="0" w:firstLine="0"/>
        <w:jc w:val="left"/>
        <w:rPr>
          <w:sz w:val="24"/>
        </w:rPr>
      </w:pPr>
      <w:r>
        <w:rPr>
          <w:i/>
          <w:position w:val="2"/>
          <w:sz w:val="24"/>
        </w:rPr>
        <w:t>P</w:t>
      </w:r>
      <w:r>
        <w:rPr>
          <w:i/>
          <w:position w:val="2"/>
          <w:sz w:val="24"/>
          <w:vertAlign w:val="subscript"/>
        </w:rPr>
        <w:t>f</w:t>
      </w:r>
      <w:r>
        <w:rPr>
          <w:position w:val="2"/>
          <w:sz w:val="24"/>
          <w:vertAlign w:val="baseline"/>
        </w:rPr>
        <w:t>(</w:t>
      </w:r>
      <w:r>
        <w:rPr>
          <w:rFonts w:ascii="Arial" w:hAnsi="Arial"/>
          <w:b/>
          <w:sz w:val="24"/>
          <w:vertAlign w:val="baseline"/>
        </w:rPr>
        <w:t>θ</w:t>
      </w:r>
      <w:r>
        <w:rPr>
          <w:position w:val="2"/>
          <w:sz w:val="24"/>
          <w:vertAlign w:val="baseline"/>
        </w:rPr>
        <w:t>) =</w:t>
      </w:r>
    </w:p>
    <w:p>
      <w:pPr>
        <w:spacing w:before="40"/>
        <w:ind w:left="0" w:right="0" w:firstLine="0"/>
        <w:jc w:val="right"/>
        <w:rPr>
          <w:sz w:val="18"/>
        </w:rPr>
      </w:pPr>
      <w:r>
        <w:rPr>
          <w:i/>
          <w:sz w:val="18"/>
        </w:rPr>
        <w:t>g</w:t>
      </w:r>
      <w:r>
        <w:rPr>
          <w:position w:val="4"/>
          <w:sz w:val="18"/>
        </w:rPr>
        <w:t>(</w:t>
      </w:r>
      <w:r>
        <w:rPr>
          <w:b/>
          <w:position w:val="3"/>
          <w:sz w:val="18"/>
        </w:rPr>
        <w:t>x </w:t>
      </w:r>
      <w:r>
        <w:rPr>
          <w:position w:val="4"/>
          <w:sz w:val="18"/>
        </w:rPr>
        <w:t>, </w:t>
      </w:r>
      <w:r>
        <w:rPr>
          <w:rFonts w:ascii="Arial" w:hAnsi="Arial"/>
          <w:b/>
          <w:position w:val="1"/>
          <w:sz w:val="18"/>
        </w:rPr>
        <w:t>θ</w:t>
      </w:r>
      <w:r>
        <w:rPr>
          <w:position w:val="1"/>
          <w:sz w:val="18"/>
        </w:rPr>
        <w:t>) </w:t>
      </w:r>
      <w:r>
        <w:rPr>
          <w:rFonts w:ascii="Arial" w:hAnsi="Arial"/>
          <w:position w:val="1"/>
          <w:sz w:val="20"/>
        </w:rPr>
        <w:t>≤ </w:t>
      </w:r>
      <w:r>
        <w:rPr>
          <w:position w:val="1"/>
          <w:sz w:val="18"/>
        </w:rPr>
        <w:t>0</w:t>
      </w:r>
    </w:p>
    <w:p>
      <w:pPr>
        <w:spacing w:before="167"/>
        <w:ind w:left="3" w:right="0" w:firstLine="0"/>
        <w:jc w:val="left"/>
        <w:rPr>
          <w:b/>
          <w:sz w:val="24"/>
        </w:rPr>
      </w:pPr>
      <w:r>
        <w:rPr/>
        <w:br w:type="column"/>
      </w:r>
      <w:r>
        <w:rPr>
          <w:i/>
          <w:position w:val="2"/>
          <w:sz w:val="24"/>
        </w:rPr>
        <w:t>f</w:t>
      </w:r>
      <w:r>
        <w:rPr>
          <w:b/>
          <w:position w:val="2"/>
          <w:sz w:val="24"/>
          <w:vertAlign w:val="subscript"/>
        </w:rPr>
        <w:t>X</w:t>
      </w:r>
      <w:r>
        <w:rPr>
          <w:position w:val="2"/>
          <w:sz w:val="24"/>
          <w:vertAlign w:val="subscript"/>
        </w:rPr>
        <w:t>|</w:t>
      </w:r>
      <w:r>
        <w:rPr>
          <w:rFonts w:ascii="Arial" w:hAnsi="Arial"/>
          <w:b/>
          <w:position w:val="-5"/>
          <w:sz w:val="18"/>
          <w:vertAlign w:val="baseline"/>
        </w:rPr>
        <w:t>Θ </w:t>
      </w:r>
      <w:r>
        <w:rPr>
          <w:position w:val="2"/>
          <w:sz w:val="24"/>
          <w:vertAlign w:val="baseline"/>
        </w:rPr>
        <w:t>(</w:t>
      </w:r>
      <w:r>
        <w:rPr>
          <w:b/>
          <w:position w:val="1"/>
          <w:sz w:val="24"/>
          <w:vertAlign w:val="baseline"/>
        </w:rPr>
        <w:t>x</w:t>
      </w:r>
      <w:r>
        <w:rPr>
          <w:position w:val="2"/>
          <w:sz w:val="24"/>
          <w:vertAlign w:val="baseline"/>
        </w:rPr>
        <w:t>| </w:t>
      </w:r>
      <w:r>
        <w:rPr>
          <w:rFonts w:ascii="Arial" w:hAnsi="Arial"/>
          <w:b/>
          <w:sz w:val="24"/>
          <w:vertAlign w:val="baseline"/>
        </w:rPr>
        <w:t>θ</w:t>
      </w:r>
      <w:r>
        <w:rPr>
          <w:position w:val="2"/>
          <w:sz w:val="24"/>
          <w:vertAlign w:val="baseline"/>
        </w:rPr>
        <w:t>) d</w:t>
      </w:r>
      <w:r>
        <w:rPr>
          <w:b/>
          <w:position w:val="1"/>
          <w:sz w:val="24"/>
          <w:vertAlign w:val="baseline"/>
        </w:rPr>
        <w:t>x</w:t>
      </w:r>
    </w:p>
    <w:p>
      <w:pPr>
        <w:pStyle w:val="BodyText"/>
        <w:spacing w:before="2"/>
        <w:rPr>
          <w:b/>
          <w:sz w:val="31"/>
        </w:rPr>
      </w:pPr>
      <w:r>
        <w:rPr/>
        <w:br w:type="column"/>
      </w:r>
      <w:r>
        <w:rPr>
          <w:b/>
          <w:sz w:val="31"/>
        </w:rPr>
      </w:r>
    </w:p>
    <w:p>
      <w:pPr>
        <w:pStyle w:val="BodyText"/>
        <w:ind w:left="1595"/>
      </w:pPr>
      <w:r>
        <w:rPr/>
        <w:t>(C.6)</w:t>
      </w:r>
    </w:p>
    <w:p>
      <w:pPr>
        <w:spacing w:after="0"/>
        <w:sectPr>
          <w:type w:val="continuous"/>
          <w:pgSz w:w="11910" w:h="16840"/>
          <w:pgMar w:top="580" w:bottom="280" w:left="1240" w:right="1300"/>
          <w:cols w:num="3" w:equalWidth="0">
            <w:col w:w="3286" w:space="40"/>
            <w:col w:w="1335" w:space="1722"/>
            <w:col w:w="2987"/>
          </w:cols>
        </w:sectPr>
      </w:pPr>
    </w:p>
    <w:p>
      <w:pPr>
        <w:pStyle w:val="BodyText"/>
        <w:spacing w:before="168"/>
        <w:ind w:left="177"/>
      </w:pPr>
      <w:r>
        <w:rPr/>
        <w:t>where </w:t>
      </w:r>
      <w:r>
        <w:rPr>
          <w:i/>
        </w:rPr>
        <w:t>P</w:t>
      </w:r>
      <w:r>
        <w:rPr>
          <w:i/>
          <w:position w:val="-3"/>
          <w:sz w:val="22"/>
        </w:rPr>
        <w:t>f</w:t>
      </w:r>
      <w:r>
        <w:rPr/>
        <w:t>(</w:t>
      </w:r>
      <w:r>
        <w:rPr>
          <w:rFonts w:ascii="Arial" w:hAnsi="Arial"/>
          <w:b/>
        </w:rPr>
        <w:t>θ</w:t>
      </w:r>
      <w:r>
        <w:rPr/>
        <w:t>) is the conditional probability of failure for a given set of values of the parameters</w:t>
      </w:r>
    </w:p>
    <w:p>
      <w:pPr>
        <w:pStyle w:val="BodyText"/>
        <w:spacing w:before="47"/>
        <w:ind w:left="177"/>
      </w:pPr>
      <w:r>
        <w:rPr>
          <w:rFonts w:ascii="Arial" w:hAnsi="Arial"/>
          <w:b/>
        </w:rPr>
        <w:t>θ </w:t>
      </w:r>
      <w:r>
        <w:rPr/>
        <w:t>and </w:t>
      </w:r>
      <w:r>
        <w:rPr>
          <w:i/>
        </w:rPr>
        <w:t>f</w:t>
      </w:r>
      <w:r>
        <w:rPr>
          <w:b/>
          <w:position w:val="-6"/>
          <w:sz w:val="14"/>
        </w:rPr>
        <w:t>X</w:t>
      </w:r>
      <w:r>
        <w:rPr>
          <w:position w:val="-6"/>
          <w:sz w:val="14"/>
        </w:rPr>
        <w:t>|</w:t>
      </w:r>
      <w:r>
        <w:rPr>
          <w:rFonts w:ascii="Arial" w:hAnsi="Arial"/>
          <w:b/>
          <w:position w:val="-2"/>
          <w:sz w:val="16"/>
        </w:rPr>
        <w:t>θ </w:t>
      </w:r>
      <w:r>
        <w:rPr/>
        <w:t>(</w:t>
      </w:r>
      <w:r>
        <w:rPr>
          <w:b/>
        </w:rPr>
        <w:t>x</w:t>
      </w:r>
      <w:r>
        <w:rPr/>
        <w:t>| </w:t>
      </w:r>
      <w:r>
        <w:rPr>
          <w:rFonts w:ascii="Arial" w:hAnsi="Arial"/>
          <w:b/>
        </w:rPr>
        <w:t>θ</w:t>
      </w:r>
      <w:r>
        <w:rPr/>
        <w:t>) is the conditional probability density function of </w:t>
      </w:r>
      <w:r>
        <w:rPr>
          <w:b/>
        </w:rPr>
        <w:t>X </w:t>
      </w:r>
      <w:r>
        <w:rPr/>
        <w:t>for given </w:t>
      </w:r>
      <w:r>
        <w:rPr>
          <w:rFonts w:ascii="Arial" w:hAnsi="Arial"/>
          <w:b/>
        </w:rPr>
        <w:t>θ</w:t>
      </w:r>
      <w:r>
        <w:rPr/>
        <w:t>.</w:t>
      </w:r>
    </w:p>
    <w:p>
      <w:pPr>
        <w:spacing w:after="0"/>
        <w:sectPr>
          <w:type w:val="continuous"/>
          <w:pgSz w:w="11910" w:h="16840"/>
          <w:pgMar w:top="580" w:bottom="280" w:left="1240" w:right="1300"/>
        </w:sectPr>
      </w:pPr>
    </w:p>
    <w:p>
      <w:pPr>
        <w:pStyle w:val="BodyText"/>
        <w:spacing w:line="242" w:lineRule="auto" w:before="61"/>
        <w:ind w:left="177"/>
      </w:pPr>
      <w:r>
        <w:rPr/>
        <w:t>In order to account for the influence of parameter uncertainty on failure probability, one may evaluate the expected value of the conditional probability of failure, i.e.</w:t>
      </w:r>
    </w:p>
    <w:p>
      <w:pPr>
        <w:pStyle w:val="BodyText"/>
        <w:spacing w:before="11"/>
        <w:rPr>
          <w:sz w:val="17"/>
        </w:rPr>
      </w:pPr>
    </w:p>
    <w:p>
      <w:pPr>
        <w:pStyle w:val="BodyText"/>
        <w:spacing w:line="22" w:lineRule="exact"/>
        <w:ind w:left="1645"/>
        <w:rPr>
          <w:sz w:val="2"/>
        </w:rPr>
      </w:pPr>
      <w:r>
        <w:rPr>
          <w:sz w:val="2"/>
        </w:rPr>
        <w:pict>
          <v:group style="width:10.95pt;height:1.1pt;mso-position-horizontal-relative:char;mso-position-vertical-relative:line" coordorigin="0,0" coordsize="219,22">
            <v:line style="position:absolute" from="10,10" to="209,12" stroked="true" strokeweight=".96pt" strokecolor="#000000">
              <v:stroke dashstyle="solid"/>
            </v:line>
          </v:group>
        </w:pict>
      </w:r>
      <w:r>
        <w:rPr>
          <w:sz w:val="2"/>
        </w:rPr>
      </w:r>
    </w:p>
    <w:p>
      <w:pPr>
        <w:spacing w:after="0" w:line="22" w:lineRule="exact"/>
        <w:rPr>
          <w:sz w:val="2"/>
        </w:rPr>
        <w:sectPr>
          <w:pgSz w:w="11910" w:h="16840"/>
          <w:pgMar w:header="0" w:footer="788" w:top="1380" w:bottom="980" w:left="1240" w:right="1300"/>
        </w:sectPr>
      </w:pPr>
    </w:p>
    <w:p>
      <w:pPr>
        <w:spacing w:line="292" w:lineRule="exact" w:before="0"/>
        <w:ind w:left="1655" w:right="0" w:firstLine="0"/>
        <w:jc w:val="left"/>
        <w:rPr>
          <w:sz w:val="24"/>
        </w:rPr>
      </w:pPr>
      <w:r>
        <w:rPr/>
        <w:pict>
          <v:shape style="position:absolute;margin-left:223.619995pt;margin-top:-7.562701pt;width:9.35pt;height:41.65pt;mso-position-horizontal-relative:page;mso-position-vertical-relative:paragraph;z-index:2176" type="#_x0000_t202" filled="false" stroked="false">
            <v:textbox inset="0,0,0,0">
              <w:txbxContent>
                <w:p>
                  <w:pPr>
                    <w:spacing w:before="45"/>
                    <w:ind w:left="0" w:right="0" w:firstLine="0"/>
                    <w:jc w:val="left"/>
                    <w:rPr>
                      <w:rFonts w:ascii="Arial" w:hAnsi="Arial"/>
                      <w:sz w:val="68"/>
                    </w:rPr>
                  </w:pPr>
                  <w:r>
                    <w:rPr>
                      <w:rFonts w:ascii="Arial" w:hAnsi="Arial"/>
                      <w:w w:val="99"/>
                      <w:sz w:val="68"/>
                    </w:rPr>
                    <w:t>∫</w:t>
                  </w:r>
                </w:p>
              </w:txbxContent>
            </v:textbox>
            <w10:wrap type="none"/>
          </v:shape>
        </w:pict>
      </w:r>
      <w:r>
        <w:rPr>
          <w:i/>
          <w:sz w:val="24"/>
        </w:rPr>
        <w:t>P</w:t>
      </w:r>
      <w:r>
        <w:rPr>
          <w:i/>
          <w:sz w:val="24"/>
          <w:vertAlign w:val="subscript"/>
        </w:rPr>
        <w:t>f</w:t>
      </w:r>
      <w:r>
        <w:rPr>
          <w:i/>
          <w:sz w:val="24"/>
          <w:vertAlign w:val="baseline"/>
        </w:rPr>
        <w:t> </w:t>
      </w:r>
      <w:r>
        <w:rPr>
          <w:sz w:val="24"/>
          <w:vertAlign w:val="baseline"/>
        </w:rPr>
        <w:t>= E [</w:t>
      </w:r>
      <w:r>
        <w:rPr>
          <w:i/>
          <w:sz w:val="24"/>
          <w:vertAlign w:val="baseline"/>
        </w:rPr>
        <w:t>P</w:t>
      </w:r>
      <w:r>
        <w:rPr>
          <w:i/>
          <w:sz w:val="24"/>
          <w:vertAlign w:val="subscript"/>
        </w:rPr>
        <w:t>f</w:t>
      </w:r>
      <w:r>
        <w:rPr>
          <w:sz w:val="24"/>
          <w:vertAlign w:val="baseline"/>
        </w:rPr>
        <w:t>(</w:t>
      </w:r>
      <w:r>
        <w:rPr>
          <w:rFonts w:ascii="Arial" w:hAnsi="Arial"/>
          <w:b/>
          <w:position w:val="-2"/>
          <w:sz w:val="24"/>
          <w:vertAlign w:val="baseline"/>
        </w:rPr>
        <w:t>θ</w:t>
      </w:r>
      <w:r>
        <w:rPr>
          <w:sz w:val="24"/>
          <w:vertAlign w:val="baseline"/>
        </w:rPr>
        <w:t>)] =</w:t>
      </w:r>
    </w:p>
    <w:p>
      <w:pPr>
        <w:spacing w:before="58"/>
        <w:ind w:left="0" w:right="0" w:firstLine="0"/>
        <w:jc w:val="right"/>
        <w:rPr>
          <w:rFonts w:ascii="Arial" w:hAnsi="Arial"/>
          <w:b/>
          <w:sz w:val="18"/>
        </w:rPr>
      </w:pPr>
      <w:r>
        <w:rPr>
          <w:rFonts w:ascii="Arial" w:hAnsi="Arial"/>
          <w:b/>
          <w:w w:val="96"/>
          <w:sz w:val="18"/>
        </w:rPr>
        <w:t>θ</w:t>
      </w:r>
    </w:p>
    <w:p>
      <w:pPr>
        <w:spacing w:line="319" w:lineRule="exact" w:before="0"/>
        <w:ind w:left="-19" w:right="0" w:firstLine="0"/>
        <w:jc w:val="left"/>
        <w:rPr>
          <w:rFonts w:ascii="Arial" w:hAnsi="Arial"/>
          <w:b/>
          <w:sz w:val="24"/>
        </w:rPr>
      </w:pPr>
      <w:r>
        <w:rPr/>
        <w:br w:type="column"/>
      </w:r>
      <w:r>
        <w:rPr>
          <w:i/>
          <w:sz w:val="24"/>
        </w:rPr>
        <w:t>P</w:t>
      </w:r>
      <w:r>
        <w:rPr>
          <w:i/>
          <w:sz w:val="24"/>
          <w:vertAlign w:val="subscript"/>
        </w:rPr>
        <w:t>f</w:t>
      </w:r>
      <w:r>
        <w:rPr>
          <w:sz w:val="24"/>
          <w:vertAlign w:val="baseline"/>
        </w:rPr>
        <w:t>(</w:t>
      </w:r>
      <w:r>
        <w:rPr>
          <w:rFonts w:ascii="Arial" w:hAnsi="Arial"/>
          <w:b/>
          <w:position w:val="-2"/>
          <w:sz w:val="24"/>
          <w:vertAlign w:val="baseline"/>
        </w:rPr>
        <w:t>θ</w:t>
      </w:r>
      <w:r>
        <w:rPr>
          <w:sz w:val="24"/>
          <w:vertAlign w:val="baseline"/>
        </w:rPr>
        <w:t>) </w:t>
      </w:r>
      <w:r>
        <w:rPr>
          <w:i/>
          <w:sz w:val="24"/>
          <w:vertAlign w:val="baseline"/>
        </w:rPr>
        <w:t>f</w:t>
      </w:r>
      <w:r>
        <w:rPr>
          <w:rFonts w:ascii="Arial" w:hAnsi="Arial"/>
          <w:b/>
          <w:position w:val="-6"/>
          <w:sz w:val="18"/>
          <w:vertAlign w:val="baseline"/>
        </w:rPr>
        <w:t>Θ </w:t>
      </w:r>
      <w:r>
        <w:rPr>
          <w:sz w:val="24"/>
          <w:vertAlign w:val="baseline"/>
        </w:rPr>
        <w:t>(</w:t>
      </w:r>
      <w:r>
        <w:rPr>
          <w:rFonts w:ascii="Arial" w:hAnsi="Arial"/>
          <w:b/>
          <w:position w:val="-2"/>
          <w:sz w:val="24"/>
          <w:vertAlign w:val="baseline"/>
        </w:rPr>
        <w:t>θ</w:t>
      </w:r>
      <w:r>
        <w:rPr>
          <w:sz w:val="24"/>
          <w:vertAlign w:val="baseline"/>
        </w:rPr>
        <w:t>) d</w:t>
      </w:r>
      <w:r>
        <w:rPr>
          <w:rFonts w:ascii="Arial" w:hAnsi="Arial"/>
          <w:b/>
          <w:position w:val="-2"/>
          <w:sz w:val="24"/>
          <w:vertAlign w:val="baseline"/>
        </w:rPr>
        <w:t>θ</w:t>
      </w:r>
    </w:p>
    <w:p>
      <w:pPr>
        <w:pStyle w:val="BodyText"/>
        <w:spacing w:before="98"/>
        <w:ind w:left="1655"/>
      </w:pPr>
      <w:r>
        <w:rPr/>
        <w:br w:type="column"/>
      </w:r>
      <w:r>
        <w:rPr/>
        <w:t>(C.7a)</w:t>
      </w:r>
    </w:p>
    <w:p>
      <w:pPr>
        <w:spacing w:after="0"/>
        <w:sectPr>
          <w:type w:val="continuous"/>
          <w:pgSz w:w="11910" w:h="16840"/>
          <w:pgMar w:top="580" w:bottom="280" w:left="1240" w:right="1300"/>
          <w:cols w:num="3" w:equalWidth="0">
            <w:col w:w="3511" w:space="40"/>
            <w:col w:w="1462" w:space="1309"/>
            <w:col w:w="3048"/>
          </w:cols>
        </w:sectPr>
      </w:pPr>
    </w:p>
    <w:p>
      <w:pPr>
        <w:pStyle w:val="BodyText"/>
        <w:spacing w:line="312" w:lineRule="auto" w:before="101"/>
        <w:ind w:left="177" w:right="112"/>
        <w:jc w:val="both"/>
      </w:pPr>
      <w:r>
        <w:rPr/>
        <w:t>where </w:t>
      </w:r>
      <w:r>
        <w:rPr>
          <w:i/>
        </w:rPr>
        <w:t>f</w:t>
      </w:r>
      <w:r>
        <w:rPr>
          <w:rFonts w:ascii="Arial" w:hAnsi="Arial"/>
          <w:b/>
          <w:vertAlign w:val="subscript"/>
        </w:rPr>
        <w:t>θ</w:t>
      </w:r>
      <w:r>
        <w:rPr>
          <w:rFonts w:ascii="Arial" w:hAnsi="Arial"/>
          <w:b/>
          <w:vertAlign w:val="baseline"/>
        </w:rPr>
        <w:t> </w:t>
      </w:r>
      <w:r>
        <w:rPr>
          <w:vertAlign w:val="baseline"/>
        </w:rPr>
        <w:t>(</w:t>
      </w:r>
      <w:r>
        <w:rPr>
          <w:rFonts w:ascii="Arial" w:hAnsi="Arial"/>
          <w:b/>
          <w:vertAlign w:val="baseline"/>
        </w:rPr>
        <w:t>θ</w:t>
      </w:r>
      <w:r>
        <w:rPr>
          <w:vertAlign w:val="baseline"/>
        </w:rPr>
        <w:t>) is the joint probability density function of </w:t>
      </w:r>
      <w:r>
        <w:rPr>
          <w:rFonts w:ascii="Arial" w:hAnsi="Arial"/>
          <w:b/>
          <w:vertAlign w:val="baseline"/>
        </w:rPr>
        <w:t>θ</w:t>
      </w:r>
      <w:r>
        <w:rPr>
          <w:vertAlign w:val="baseline"/>
        </w:rPr>
        <w:t>. The corresponding reliability index is given</w:t>
      </w:r>
      <w:r>
        <w:rPr>
          <w:spacing w:val="-3"/>
          <w:vertAlign w:val="baseline"/>
        </w:rPr>
        <w:t> </w:t>
      </w:r>
      <w:r>
        <w:rPr>
          <w:vertAlign w:val="baseline"/>
        </w:rPr>
        <w:t>by     </w:t>
      </w:r>
      <w:r>
        <w:rPr>
          <w:spacing w:val="21"/>
          <w:vertAlign w:val="baseline"/>
        </w:rPr>
        <w:t> </w:t>
      </w:r>
      <w:r>
        <w:rPr>
          <w:w w:val="100"/>
          <w:u w:val="single"/>
          <w:vertAlign w:val="baseline"/>
        </w:rPr>
        <w:t> </w:t>
      </w:r>
      <w:r>
        <w:rPr>
          <w:spacing w:val="18"/>
          <w:u w:val="single"/>
          <w:vertAlign w:val="baseline"/>
        </w:rPr>
        <w:t> </w:t>
      </w:r>
    </w:p>
    <w:p>
      <w:pPr>
        <w:tabs>
          <w:tab w:pos="7978" w:val="left" w:leader="none"/>
        </w:tabs>
        <w:spacing w:line="230" w:lineRule="auto" w:before="0"/>
        <w:ind w:left="1595" w:right="0" w:firstLine="0"/>
        <w:jc w:val="left"/>
        <w:rPr>
          <w:sz w:val="24"/>
        </w:rPr>
      </w:pPr>
      <w:r>
        <w:rPr/>
        <w:pict>
          <v:line style="position:absolute;mso-position-horizontal-relative:page;mso-position-vertical-relative:paragraph;z-index:-57808" from="189.419998pt,5.196577pt" to="199.379998pt,5.196577pt" stroked="true" strokeweight=".963pt" strokecolor="#000000">
            <v:stroke dashstyle="solid"/>
            <w10:wrap type="none"/>
          </v:line>
        </w:pict>
      </w:r>
      <w:r>
        <w:rPr/>
        <w:pict>
          <v:shape style="position:absolute;margin-left:196.380005pt;margin-top:10.62279pt;width:2.550pt;height:10.050pt;mso-position-horizontal-relative:page;mso-position-vertical-relative:paragraph;z-index:-57760" type="#_x0000_t202" filled="false" stroked="false">
            <v:textbox inset="0,0,0,0">
              <w:txbxContent>
                <w:p>
                  <w:pPr>
                    <w:spacing w:line="200" w:lineRule="exact" w:before="0"/>
                    <w:ind w:left="0" w:right="0" w:firstLine="0"/>
                    <w:jc w:val="left"/>
                    <w:rPr>
                      <w:i/>
                      <w:sz w:val="18"/>
                    </w:rPr>
                  </w:pPr>
                  <w:r>
                    <w:rPr>
                      <w:i/>
                      <w:w w:val="100"/>
                      <w:sz w:val="18"/>
                    </w:rPr>
                    <w:t>f</w:t>
                  </w:r>
                </w:p>
              </w:txbxContent>
            </v:textbox>
            <w10:wrap type="none"/>
          </v:shape>
        </w:pict>
      </w:r>
      <w:r>
        <w:rPr>
          <w:rFonts w:ascii="Arial" w:hAnsi="Arial"/>
          <w:i/>
          <w:position w:val="2"/>
          <w:sz w:val="23"/>
        </w:rPr>
        <w:t>β </w:t>
      </w:r>
      <w:r>
        <w:rPr>
          <w:sz w:val="22"/>
        </w:rPr>
        <w:t>= -</w:t>
      </w:r>
      <w:r>
        <w:rPr>
          <w:spacing w:val="36"/>
          <w:sz w:val="22"/>
        </w:rPr>
        <w:t> </w:t>
      </w:r>
      <w:r>
        <w:rPr>
          <w:rFonts w:ascii="Arial" w:hAnsi="Arial"/>
          <w:spacing w:val="2"/>
          <w:position w:val="2"/>
          <w:sz w:val="22"/>
        </w:rPr>
        <w:t>Φ</w:t>
      </w:r>
      <w:r>
        <w:rPr>
          <w:spacing w:val="2"/>
          <w:position w:val="14"/>
          <w:sz w:val="18"/>
        </w:rPr>
        <w:t>-1</w:t>
      </w:r>
      <w:r>
        <w:rPr>
          <w:spacing w:val="2"/>
          <w:sz w:val="22"/>
        </w:rPr>
        <w:t>(</w:t>
      </w:r>
      <w:r>
        <w:rPr>
          <w:i/>
          <w:spacing w:val="2"/>
          <w:sz w:val="22"/>
        </w:rPr>
        <w:t>P</w:t>
      </w:r>
      <w:r>
        <w:rPr>
          <w:i/>
          <w:spacing w:val="6"/>
          <w:sz w:val="22"/>
        </w:rPr>
        <w:t> </w:t>
      </w:r>
      <w:r>
        <w:rPr>
          <w:sz w:val="22"/>
        </w:rPr>
        <w:t>)</w:t>
        <w:tab/>
      </w:r>
      <w:r>
        <w:rPr>
          <w:position w:val="-5"/>
          <w:sz w:val="24"/>
        </w:rPr>
        <w:t>(C.7b)</w:t>
      </w:r>
    </w:p>
    <w:p>
      <w:pPr>
        <w:pStyle w:val="BodyText"/>
        <w:spacing w:line="312" w:lineRule="auto" w:before="6"/>
        <w:ind w:left="177" w:right="111"/>
        <w:jc w:val="both"/>
      </w:pPr>
      <w:r>
        <w:rPr/>
        <w:t>The main objective of reliability analysis is to estimate the failure probability (or, the reliability index). Hence, it replaces the deterministic safety check with a probabilistic assessment of the safety of the structure, e.g. eqn (C.3) or eqn (C.7). Depending on the nature of the limit state considered, the uncertainty sources and their implications for probabilistic modeling, the characteristics of the calculation model and the degree of accuracy required, an appropriate methodology has to be developed. In many respects, this is similar to the considerations made in formulating a methodology for deterministic structural analysis but  the problem is now set in a probabilistic</w:t>
      </w:r>
      <w:r>
        <w:rPr>
          <w:spacing w:val="-5"/>
        </w:rPr>
        <w:t> </w:t>
      </w:r>
      <w:r>
        <w:rPr/>
        <w:t>framework.</w:t>
      </w:r>
    </w:p>
    <w:p>
      <w:pPr>
        <w:pStyle w:val="BodyText"/>
        <w:rPr>
          <w:sz w:val="26"/>
        </w:rPr>
      </w:pPr>
    </w:p>
    <w:p>
      <w:pPr>
        <w:pStyle w:val="BodyText"/>
        <w:spacing w:before="10"/>
        <w:rPr>
          <w:sz w:val="33"/>
        </w:rPr>
      </w:pPr>
    </w:p>
    <w:p>
      <w:pPr>
        <w:pStyle w:val="ListParagraph"/>
        <w:numPr>
          <w:ilvl w:val="2"/>
          <w:numId w:val="18"/>
        </w:numPr>
        <w:tabs>
          <w:tab w:pos="1085" w:val="left" w:leader="none"/>
        </w:tabs>
        <w:spacing w:line="240" w:lineRule="auto" w:before="0" w:after="0"/>
        <w:ind w:left="1084" w:right="0" w:hanging="907"/>
        <w:jc w:val="both"/>
        <w:rPr>
          <w:sz w:val="18"/>
        </w:rPr>
      </w:pPr>
      <w:r>
        <w:rPr>
          <w:sz w:val="24"/>
          <w:u w:val="single"/>
        </w:rPr>
        <w:t>System</w:t>
      </w:r>
      <w:r>
        <w:rPr>
          <w:spacing w:val="-4"/>
          <w:sz w:val="24"/>
          <w:u w:val="single"/>
        </w:rPr>
        <w:t> </w:t>
      </w:r>
      <w:r>
        <w:rPr>
          <w:sz w:val="24"/>
          <w:u w:val="single"/>
        </w:rPr>
        <w:t>Concepts</w:t>
      </w:r>
    </w:p>
    <w:p>
      <w:pPr>
        <w:pStyle w:val="BodyText"/>
        <w:spacing w:before="4"/>
        <w:rPr>
          <w:sz w:val="20"/>
        </w:rPr>
      </w:pPr>
    </w:p>
    <w:p>
      <w:pPr>
        <w:pStyle w:val="BodyText"/>
        <w:spacing w:line="312" w:lineRule="auto" w:before="90"/>
        <w:ind w:left="177" w:right="111"/>
        <w:jc w:val="both"/>
      </w:pPr>
      <w:r>
        <w:rPr/>
        <w:t>Structural design is, at present, primarily concerned with component behaviour. Each limit state equation is, in most cases, related to a single mode of failure of a single component.</w:t>
      </w:r>
    </w:p>
    <w:p>
      <w:pPr>
        <w:pStyle w:val="BodyText"/>
        <w:spacing w:before="6"/>
        <w:rPr>
          <w:sz w:val="31"/>
        </w:rPr>
      </w:pPr>
    </w:p>
    <w:p>
      <w:pPr>
        <w:pStyle w:val="BodyText"/>
        <w:spacing w:line="312" w:lineRule="auto"/>
        <w:ind w:left="177" w:right="111"/>
        <w:jc w:val="both"/>
      </w:pPr>
      <w:r>
        <w:rPr/>
        <w:t>However, most structures are an assembly of structural components and even individual components may be susceptible to a number of possible failure modes. In deterministic terms, the former can be tackled through a progressive collapse analysis (particularly appropriate in redundant structures), whereas the latter is usually dealt with by checking a number of limit state equations.</w:t>
      </w:r>
    </w:p>
    <w:p>
      <w:pPr>
        <w:pStyle w:val="BodyText"/>
        <w:spacing w:before="10"/>
        <w:rPr>
          <w:sz w:val="31"/>
        </w:rPr>
      </w:pPr>
    </w:p>
    <w:p>
      <w:pPr>
        <w:pStyle w:val="BodyText"/>
        <w:spacing w:line="312" w:lineRule="auto"/>
        <w:ind w:left="177" w:right="112"/>
        <w:jc w:val="both"/>
      </w:pPr>
      <w:r>
        <w:rPr/>
        <w:t>However, the system behaviour of structures is not well quantified in limit state codes and requires considerable innovation and initiative from the engineer. A probabilistic approach provides a better platform from which system behaviour can be explored and utilised. This can be of benefit in assessment of existing structures where strength reserves due to system effects can alleviate the need for expensive</w:t>
      </w:r>
      <w:r>
        <w:rPr>
          <w:spacing w:val="-3"/>
        </w:rPr>
        <w:t> </w:t>
      </w:r>
      <w:r>
        <w:rPr/>
        <w:t>strengthening.</w:t>
      </w:r>
    </w:p>
    <w:p>
      <w:pPr>
        <w:pStyle w:val="BodyText"/>
        <w:spacing w:before="10"/>
        <w:rPr>
          <w:sz w:val="31"/>
        </w:rPr>
      </w:pPr>
    </w:p>
    <w:p>
      <w:pPr>
        <w:pStyle w:val="BodyText"/>
        <w:ind w:left="177"/>
        <w:jc w:val="both"/>
      </w:pPr>
      <w:r>
        <w:rPr/>
        <w:t>There are two fundamental systems, see Fig. C.1:</w:t>
      </w:r>
    </w:p>
    <w:p>
      <w:pPr>
        <w:pStyle w:val="BodyText"/>
        <w:spacing w:before="7"/>
        <w:rPr>
          <w:sz w:val="38"/>
        </w:rPr>
      </w:pPr>
    </w:p>
    <w:p>
      <w:pPr>
        <w:pStyle w:val="ListParagraph"/>
        <w:numPr>
          <w:ilvl w:val="3"/>
          <w:numId w:val="18"/>
        </w:numPr>
        <w:tabs>
          <w:tab w:pos="802" w:val="left" w:leader="none"/>
        </w:tabs>
        <w:spacing w:line="240" w:lineRule="auto" w:before="0" w:after="0"/>
        <w:ind w:left="801" w:right="0" w:hanging="340"/>
        <w:jc w:val="left"/>
        <w:rPr>
          <w:sz w:val="24"/>
        </w:rPr>
      </w:pPr>
      <w:r>
        <w:rPr>
          <w:sz w:val="24"/>
        </w:rPr>
        <w:t>A series system is a system which fails if one or more of its components</w:t>
      </w:r>
      <w:r>
        <w:rPr>
          <w:spacing w:val="-29"/>
          <w:sz w:val="24"/>
        </w:rPr>
        <w:t> </w:t>
      </w:r>
      <w:r>
        <w:rPr>
          <w:sz w:val="24"/>
        </w:rPr>
        <w:t>fail.</w:t>
      </w:r>
    </w:p>
    <w:p>
      <w:pPr>
        <w:pStyle w:val="ListParagraph"/>
        <w:numPr>
          <w:ilvl w:val="3"/>
          <w:numId w:val="18"/>
        </w:numPr>
        <w:tabs>
          <w:tab w:pos="802" w:val="left" w:leader="none"/>
        </w:tabs>
        <w:spacing w:line="240" w:lineRule="auto" w:before="84" w:after="0"/>
        <w:ind w:left="801" w:right="0" w:hanging="340"/>
        <w:jc w:val="left"/>
        <w:rPr>
          <w:sz w:val="24"/>
        </w:rPr>
      </w:pPr>
      <w:r>
        <w:rPr>
          <w:sz w:val="24"/>
        </w:rPr>
        <w:t>A parallel system is a system which fails when all its components have</w:t>
      </w:r>
      <w:r>
        <w:rPr>
          <w:spacing w:val="-27"/>
          <w:sz w:val="24"/>
        </w:rPr>
        <w:t> </w:t>
      </w:r>
      <w:r>
        <w:rPr>
          <w:sz w:val="24"/>
        </w:rPr>
        <w:t>failed.</w:t>
      </w:r>
    </w:p>
    <w:p>
      <w:pPr>
        <w:spacing w:after="0" w:line="240" w:lineRule="auto"/>
        <w:jc w:val="left"/>
        <w:rPr>
          <w:sz w:val="24"/>
        </w:rPr>
        <w:sectPr>
          <w:type w:val="continuous"/>
          <w:pgSz w:w="11910" w:h="16840"/>
          <w:pgMar w:top="580" w:bottom="280" w:left="1240" w:right="1300"/>
        </w:sectPr>
      </w:pPr>
    </w:p>
    <w:p>
      <w:pPr>
        <w:pStyle w:val="BodyText"/>
        <w:spacing w:before="7"/>
        <w:rPr>
          <w:sz w:val="16"/>
        </w:rPr>
      </w:pPr>
    </w:p>
    <w:p>
      <w:pPr>
        <w:pStyle w:val="BodyText"/>
        <w:spacing w:before="91"/>
        <w:ind w:left="177"/>
        <w:jc w:val="both"/>
      </w:pPr>
      <w:r>
        <w:rPr/>
        <w:t>The probability of system failure is given by</w:t>
      </w:r>
    </w:p>
    <w:p>
      <w:pPr>
        <w:pStyle w:val="BodyText"/>
        <w:spacing w:before="5"/>
        <w:rPr>
          <w:sz w:val="38"/>
        </w:rPr>
      </w:pPr>
    </w:p>
    <w:p>
      <w:pPr>
        <w:tabs>
          <w:tab w:pos="7977" w:val="left" w:leader="none"/>
        </w:tabs>
        <w:spacing w:before="1"/>
        <w:ind w:left="886" w:right="0" w:firstLine="0"/>
        <w:jc w:val="left"/>
        <w:rPr>
          <w:sz w:val="24"/>
        </w:rPr>
      </w:pPr>
      <w:r>
        <w:rPr>
          <w:i/>
          <w:sz w:val="24"/>
        </w:rPr>
        <w:t>P</w:t>
      </w:r>
      <w:r>
        <w:rPr>
          <w:i/>
          <w:position w:val="-3"/>
          <w:sz w:val="22"/>
        </w:rPr>
        <w:t>f, sys </w:t>
      </w:r>
      <w:r>
        <w:rPr>
          <w:sz w:val="24"/>
        </w:rPr>
        <w:t>= P[E</w:t>
      </w:r>
      <w:r>
        <w:rPr>
          <w:position w:val="-3"/>
          <w:sz w:val="22"/>
        </w:rPr>
        <w:t>1</w:t>
      </w:r>
      <w:r>
        <w:rPr>
          <w:rFonts w:ascii="Arial" w:hAnsi="Arial"/>
          <w:sz w:val="24"/>
        </w:rPr>
        <w:t>∪</w:t>
      </w:r>
      <w:r>
        <w:rPr>
          <w:sz w:val="24"/>
        </w:rPr>
        <w:t>E</w:t>
      </w:r>
      <w:r>
        <w:rPr>
          <w:position w:val="-3"/>
          <w:sz w:val="22"/>
        </w:rPr>
        <w:t>2</w:t>
      </w:r>
      <w:r>
        <w:rPr>
          <w:rFonts w:ascii="Arial" w:hAnsi="Arial"/>
          <w:sz w:val="24"/>
        </w:rPr>
        <w:t>∪</w:t>
      </w:r>
      <w:r>
        <w:rPr>
          <w:sz w:val="24"/>
        </w:rPr>
        <w:t>...</w:t>
      </w:r>
      <w:r>
        <w:rPr>
          <w:rFonts w:ascii="Arial" w:hAnsi="Arial"/>
          <w:sz w:val="24"/>
        </w:rPr>
        <w:t>∪</w:t>
      </w:r>
      <w:r>
        <w:rPr>
          <w:sz w:val="24"/>
        </w:rPr>
        <w:t>E</w:t>
      </w:r>
      <w:r>
        <w:rPr>
          <w:position w:val="-3"/>
          <w:sz w:val="22"/>
        </w:rPr>
        <w:t>n</w:t>
      </w:r>
      <w:r>
        <w:rPr>
          <w:sz w:val="24"/>
        </w:rPr>
        <w:t>]   for a</w:t>
      </w:r>
      <w:r>
        <w:rPr>
          <w:spacing w:val="15"/>
          <w:sz w:val="24"/>
        </w:rPr>
        <w:t> </w:t>
      </w:r>
      <w:r>
        <w:rPr>
          <w:sz w:val="24"/>
        </w:rPr>
        <w:t>series</w:t>
      </w:r>
      <w:r>
        <w:rPr>
          <w:spacing w:val="-1"/>
          <w:sz w:val="24"/>
        </w:rPr>
        <w:t> </w:t>
      </w:r>
      <w:r>
        <w:rPr>
          <w:sz w:val="24"/>
        </w:rPr>
        <w:t>system</w:t>
        <w:tab/>
        <w:t>(C.8a)</w:t>
      </w:r>
    </w:p>
    <w:p>
      <w:pPr>
        <w:pStyle w:val="BodyText"/>
        <w:tabs>
          <w:tab w:pos="7977" w:val="left" w:leader="none"/>
        </w:tabs>
        <w:spacing w:before="47"/>
        <w:ind w:left="886"/>
      </w:pPr>
      <w:r>
        <w:rPr>
          <w:i/>
        </w:rPr>
        <w:t>P</w:t>
      </w:r>
      <w:r>
        <w:rPr>
          <w:i/>
          <w:position w:val="-3"/>
          <w:sz w:val="22"/>
        </w:rPr>
        <w:t>f, sys </w:t>
      </w:r>
      <w:r>
        <w:rPr/>
        <w:t>= P[E</w:t>
      </w:r>
      <w:r>
        <w:rPr>
          <w:position w:val="-3"/>
          <w:sz w:val="22"/>
        </w:rPr>
        <w:t>1</w:t>
      </w:r>
      <w:r>
        <w:rPr>
          <w:rFonts w:ascii="Arial" w:hAnsi="Arial"/>
        </w:rPr>
        <w:t>∩</w:t>
      </w:r>
      <w:r>
        <w:rPr/>
        <w:t>E</w:t>
      </w:r>
      <w:r>
        <w:rPr>
          <w:position w:val="-3"/>
          <w:sz w:val="22"/>
        </w:rPr>
        <w:t>2</w:t>
      </w:r>
      <w:r>
        <w:rPr>
          <w:rFonts w:ascii="Arial" w:hAnsi="Arial"/>
        </w:rPr>
        <w:t>∩</w:t>
      </w:r>
      <w:r>
        <w:rPr/>
        <w:t>...</w:t>
      </w:r>
      <w:r>
        <w:rPr>
          <w:rFonts w:ascii="Arial" w:hAnsi="Arial"/>
        </w:rPr>
        <w:t>∩</w:t>
      </w:r>
      <w:r>
        <w:rPr/>
        <w:t>E</w:t>
      </w:r>
      <w:r>
        <w:rPr>
          <w:position w:val="-3"/>
          <w:sz w:val="22"/>
        </w:rPr>
        <w:t>n</w:t>
      </w:r>
      <w:r>
        <w:rPr/>
        <w:t>]    for a</w:t>
      </w:r>
      <w:r>
        <w:rPr>
          <w:spacing w:val="-32"/>
        </w:rPr>
        <w:t> </w:t>
      </w:r>
      <w:r>
        <w:rPr/>
        <w:t>parallel system</w:t>
        <w:tab/>
        <w:t>(C.8b)</w:t>
      </w:r>
    </w:p>
    <w:p>
      <w:pPr>
        <w:pStyle w:val="BodyText"/>
        <w:spacing w:before="11"/>
        <w:rPr>
          <w:sz w:val="29"/>
        </w:rPr>
      </w:pPr>
    </w:p>
    <w:p>
      <w:pPr>
        <w:pStyle w:val="BodyText"/>
        <w:spacing w:line="360" w:lineRule="exact"/>
        <w:ind w:left="177" w:right="111"/>
        <w:jc w:val="both"/>
      </w:pPr>
      <w:r>
        <w:rPr/>
        <w:t>where E</w:t>
      </w:r>
      <w:r>
        <w:rPr>
          <w:i/>
          <w:position w:val="-3"/>
          <w:sz w:val="22"/>
        </w:rPr>
        <w:t>i </w:t>
      </w:r>
      <w:r>
        <w:rPr/>
        <w:t>(</w:t>
      </w:r>
      <w:r>
        <w:rPr>
          <w:i/>
        </w:rPr>
        <w:t>i</w:t>
      </w:r>
      <w:r>
        <w:rPr/>
        <w:t>=1, ...</w:t>
      </w:r>
      <w:r>
        <w:rPr>
          <w:i/>
        </w:rPr>
        <w:t>n</w:t>
      </w:r>
      <w:r>
        <w:rPr/>
        <w:t>) is the event corresponding to failure of the </w:t>
      </w:r>
      <w:r>
        <w:rPr>
          <w:i/>
        </w:rPr>
        <w:t>i</w:t>
      </w:r>
      <w:r>
        <w:rPr/>
        <w:t>th component. In the case of parallel systems, which are designed to provide some redundancy, it is important to define the state of the component after failure. In structures, this can be described in terms of a characteristic load-displacement response, see Fig. C.2, for which two convenient idealisations are the 'brittle' and the 'fully ductile' case. Intermediate, often more realistic, cases can also be</w:t>
      </w:r>
      <w:r>
        <w:rPr>
          <w:spacing w:val="-5"/>
        </w:rPr>
        <w:t> </w:t>
      </w:r>
      <w:r>
        <w:rPr/>
        <w:t>defined.</w:t>
      </w:r>
    </w:p>
    <w:p>
      <w:pPr>
        <w:pStyle w:val="BodyText"/>
        <w:spacing w:before="10"/>
        <w:rPr>
          <w:sz w:val="36"/>
        </w:rPr>
      </w:pPr>
    </w:p>
    <w:p>
      <w:pPr>
        <w:pStyle w:val="BodyText"/>
        <w:spacing w:line="312" w:lineRule="auto"/>
        <w:ind w:left="177" w:right="110"/>
        <w:jc w:val="both"/>
      </w:pPr>
      <w:r>
        <w:rPr/>
        <w:t>The above expressions can be difficult to evaluate in the case of large systems with stochastically dependent components and, for this reason, upper and lower bounds have been developed, which may be used in practical applications. In order to appreciate the effect of system behaviour on failure probabilities, results for two special systems comprising equally correlated components with the same failure probability for each component are shown in Fig. C.3(a) and C.3(b). Note that in the case of the parallel system, it is assumed that the components are fully ductile.</w:t>
      </w:r>
    </w:p>
    <w:p>
      <w:pPr>
        <w:pStyle w:val="BodyText"/>
        <w:rPr>
          <w:sz w:val="32"/>
        </w:rPr>
      </w:pPr>
    </w:p>
    <w:p>
      <w:pPr>
        <w:pStyle w:val="BodyText"/>
        <w:spacing w:line="312" w:lineRule="auto" w:before="1"/>
        <w:ind w:left="177" w:right="112"/>
        <w:jc w:val="both"/>
      </w:pPr>
      <w:r>
        <w:rPr/>
        <w:t>More general systems can be constructed by combining the two fundamental types. It is fair  to say that system methods are more developed for skeletal rather than continuous structures. Important results from system reliability theory are summarized in section</w:t>
      </w:r>
      <w:r>
        <w:rPr>
          <w:spacing w:val="-9"/>
        </w:rPr>
        <w:t> </w:t>
      </w:r>
      <w:r>
        <w:rPr/>
        <w:t>4.</w:t>
      </w:r>
    </w:p>
    <w:p>
      <w:pPr>
        <w:pStyle w:val="BodyText"/>
        <w:rPr>
          <w:sz w:val="26"/>
        </w:rPr>
      </w:pPr>
    </w:p>
    <w:p>
      <w:pPr>
        <w:pStyle w:val="BodyText"/>
        <w:rPr>
          <w:sz w:val="26"/>
        </w:rPr>
      </w:pPr>
    </w:p>
    <w:p>
      <w:pPr>
        <w:pStyle w:val="Heading2"/>
        <w:numPr>
          <w:ilvl w:val="1"/>
          <w:numId w:val="20"/>
        </w:numPr>
        <w:tabs>
          <w:tab w:pos="1085" w:val="left" w:leader="none"/>
        </w:tabs>
        <w:spacing w:line="240" w:lineRule="auto" w:before="168" w:after="0"/>
        <w:ind w:left="1084" w:right="0" w:hanging="907"/>
        <w:jc w:val="both"/>
      </w:pPr>
      <w:bookmarkStart w:name="_TOC_250008" w:id="42"/>
      <w:bookmarkEnd w:id="42"/>
      <w:r>
        <w:rPr/>
        <w:t>Component Reliability Analysis</w:t>
      </w:r>
    </w:p>
    <w:p>
      <w:pPr>
        <w:pStyle w:val="BodyText"/>
        <w:spacing w:line="312" w:lineRule="auto" w:before="202"/>
        <w:ind w:left="177" w:right="111" w:hanging="1"/>
        <w:jc w:val="both"/>
      </w:pPr>
      <w:r>
        <w:rPr/>
        <w:t>The framework for probabilistic modeling and reliability evaluation is outlined in this section. The focus is on the procedure to be followed in assessing the reliability of a critical component with respect to a particular failure</w:t>
      </w:r>
      <w:r>
        <w:rPr>
          <w:spacing w:val="-8"/>
        </w:rPr>
        <w:t> </w:t>
      </w:r>
      <w:r>
        <w:rPr/>
        <w:t>mode.</w:t>
      </w:r>
    </w:p>
    <w:p>
      <w:pPr>
        <w:pStyle w:val="ListParagraph"/>
        <w:numPr>
          <w:ilvl w:val="2"/>
          <w:numId w:val="20"/>
        </w:numPr>
        <w:tabs>
          <w:tab w:pos="1085" w:val="left" w:leader="none"/>
        </w:tabs>
        <w:spacing w:line="240" w:lineRule="auto" w:before="163" w:after="0"/>
        <w:ind w:left="1084" w:right="0" w:hanging="907"/>
        <w:jc w:val="both"/>
        <w:rPr>
          <w:sz w:val="24"/>
        </w:rPr>
      </w:pPr>
      <w:r>
        <w:rPr>
          <w:sz w:val="24"/>
          <w:u w:val="single"/>
        </w:rPr>
        <w:t>General</w:t>
      </w:r>
      <w:r>
        <w:rPr>
          <w:spacing w:val="-1"/>
          <w:sz w:val="24"/>
          <w:u w:val="single"/>
        </w:rPr>
        <w:t> </w:t>
      </w:r>
      <w:r>
        <w:rPr>
          <w:sz w:val="24"/>
          <w:u w:val="single"/>
        </w:rPr>
        <w:t>Steps</w:t>
      </w:r>
    </w:p>
    <w:p>
      <w:pPr>
        <w:pStyle w:val="BodyText"/>
        <w:spacing w:before="4"/>
        <w:rPr>
          <w:sz w:val="20"/>
        </w:rPr>
      </w:pPr>
    </w:p>
    <w:p>
      <w:pPr>
        <w:pStyle w:val="BodyText"/>
        <w:spacing w:before="90"/>
        <w:ind w:left="177"/>
      </w:pPr>
      <w:r>
        <w:rPr/>
        <w:t>The main steps in a component reliability analysis are the following:</w:t>
      </w:r>
    </w:p>
    <w:p>
      <w:pPr>
        <w:pStyle w:val="BodyText"/>
        <w:spacing w:before="7"/>
        <w:rPr>
          <w:sz w:val="38"/>
        </w:rPr>
      </w:pPr>
    </w:p>
    <w:p>
      <w:pPr>
        <w:pStyle w:val="ListParagraph"/>
        <w:numPr>
          <w:ilvl w:val="0"/>
          <w:numId w:val="21"/>
        </w:numPr>
        <w:tabs>
          <w:tab w:pos="886" w:val="left" w:leader="none"/>
          <w:tab w:pos="887" w:val="left" w:leader="none"/>
        </w:tabs>
        <w:spacing w:line="240" w:lineRule="auto" w:before="0" w:after="0"/>
        <w:ind w:left="886" w:right="0" w:hanging="709"/>
        <w:jc w:val="left"/>
        <w:rPr>
          <w:sz w:val="24"/>
        </w:rPr>
      </w:pPr>
      <w:r>
        <w:rPr>
          <w:sz w:val="24"/>
        </w:rPr>
        <w:t>select appropriate limit state</w:t>
      </w:r>
      <w:r>
        <w:rPr>
          <w:spacing w:val="-3"/>
          <w:sz w:val="24"/>
        </w:rPr>
        <w:t> </w:t>
      </w:r>
      <w:r>
        <w:rPr>
          <w:sz w:val="24"/>
        </w:rPr>
        <w:t>function</w:t>
      </w:r>
    </w:p>
    <w:p>
      <w:pPr>
        <w:pStyle w:val="ListParagraph"/>
        <w:numPr>
          <w:ilvl w:val="0"/>
          <w:numId w:val="21"/>
        </w:numPr>
        <w:tabs>
          <w:tab w:pos="885" w:val="left" w:leader="none"/>
          <w:tab w:pos="887" w:val="left" w:leader="none"/>
        </w:tabs>
        <w:spacing w:line="240" w:lineRule="auto" w:before="85" w:after="0"/>
        <w:ind w:left="886" w:right="0" w:hanging="709"/>
        <w:jc w:val="left"/>
        <w:rPr>
          <w:sz w:val="24"/>
        </w:rPr>
      </w:pPr>
      <w:r>
        <w:rPr>
          <w:sz w:val="24"/>
        </w:rPr>
        <w:t>specify appropriate time</w:t>
      </w:r>
      <w:r>
        <w:rPr>
          <w:spacing w:val="-2"/>
          <w:sz w:val="24"/>
        </w:rPr>
        <w:t> </w:t>
      </w:r>
      <w:r>
        <w:rPr>
          <w:sz w:val="24"/>
        </w:rPr>
        <w:t>reference</w:t>
      </w:r>
    </w:p>
    <w:p>
      <w:pPr>
        <w:pStyle w:val="ListParagraph"/>
        <w:numPr>
          <w:ilvl w:val="0"/>
          <w:numId w:val="21"/>
        </w:numPr>
        <w:tabs>
          <w:tab w:pos="885" w:val="left" w:leader="none"/>
          <w:tab w:pos="887" w:val="left" w:leader="none"/>
        </w:tabs>
        <w:spacing w:line="240" w:lineRule="auto" w:before="84" w:after="0"/>
        <w:ind w:left="886" w:right="0" w:hanging="709"/>
        <w:jc w:val="left"/>
        <w:rPr>
          <w:sz w:val="24"/>
        </w:rPr>
      </w:pPr>
      <w:r>
        <w:rPr>
          <w:sz w:val="24"/>
        </w:rPr>
        <w:t>identify basic variables and develop appropriate probabilistic</w:t>
      </w:r>
      <w:r>
        <w:rPr>
          <w:spacing w:val="0"/>
          <w:sz w:val="24"/>
        </w:rPr>
        <w:t> </w:t>
      </w:r>
      <w:r>
        <w:rPr>
          <w:sz w:val="24"/>
        </w:rPr>
        <w:t>models</w:t>
      </w:r>
    </w:p>
    <w:p>
      <w:pPr>
        <w:pStyle w:val="ListParagraph"/>
        <w:numPr>
          <w:ilvl w:val="0"/>
          <w:numId w:val="21"/>
        </w:numPr>
        <w:tabs>
          <w:tab w:pos="886" w:val="left" w:leader="none"/>
          <w:tab w:pos="887" w:val="left" w:leader="none"/>
        </w:tabs>
        <w:spacing w:line="240" w:lineRule="auto" w:before="84" w:after="0"/>
        <w:ind w:left="886" w:right="0" w:hanging="709"/>
        <w:jc w:val="left"/>
        <w:rPr>
          <w:sz w:val="24"/>
        </w:rPr>
      </w:pPr>
      <w:r>
        <w:rPr>
          <w:sz w:val="24"/>
        </w:rPr>
        <w:t>compute reliability index and failure probability</w:t>
      </w:r>
    </w:p>
    <w:p>
      <w:pPr>
        <w:spacing w:after="0" w:line="240" w:lineRule="auto"/>
        <w:jc w:val="left"/>
        <w:rPr>
          <w:sz w:val="24"/>
        </w:rPr>
        <w:sectPr>
          <w:pgSz w:w="11910" w:h="16840"/>
          <w:pgMar w:header="0" w:footer="788" w:top="1600" w:bottom="980" w:left="1240" w:right="1300"/>
        </w:sectPr>
      </w:pPr>
    </w:p>
    <w:p>
      <w:pPr>
        <w:pStyle w:val="ListParagraph"/>
        <w:numPr>
          <w:ilvl w:val="0"/>
          <w:numId w:val="21"/>
        </w:numPr>
        <w:tabs>
          <w:tab w:pos="886" w:val="left" w:leader="none"/>
          <w:tab w:pos="887" w:val="left" w:leader="none"/>
        </w:tabs>
        <w:spacing w:line="240" w:lineRule="auto" w:before="62" w:after="0"/>
        <w:ind w:left="886" w:right="0" w:hanging="709"/>
        <w:jc w:val="left"/>
        <w:rPr>
          <w:sz w:val="24"/>
        </w:rPr>
      </w:pPr>
      <w:r>
        <w:rPr>
          <w:sz w:val="24"/>
        </w:rPr>
        <w:t>perform sensitivity</w:t>
      </w:r>
      <w:r>
        <w:rPr>
          <w:spacing w:val="-5"/>
          <w:sz w:val="24"/>
        </w:rPr>
        <w:t> </w:t>
      </w:r>
      <w:r>
        <w:rPr>
          <w:sz w:val="24"/>
        </w:rPr>
        <w:t>studies</w:t>
      </w:r>
    </w:p>
    <w:p>
      <w:pPr>
        <w:pStyle w:val="BodyText"/>
        <w:spacing w:line="312" w:lineRule="auto" w:before="84"/>
        <w:ind w:left="177" w:right="111"/>
        <w:jc w:val="both"/>
      </w:pPr>
      <w:r>
        <w:rPr/>
        <w:t>Step (1) is essentially the same as for deterministic analysis. Step (2) should be considered carefully, since it affects the probabilistic modeling of many variables, particularly live loading. Step (3) is perhaps the most important because the considerations made in  developing</w:t>
      </w:r>
      <w:r>
        <w:rPr>
          <w:spacing w:val="23"/>
        </w:rPr>
        <w:t> </w:t>
      </w:r>
      <w:r>
        <w:rPr/>
        <w:t>the</w:t>
      </w:r>
      <w:r>
        <w:rPr>
          <w:spacing w:val="23"/>
        </w:rPr>
        <w:t> </w:t>
      </w:r>
      <w:r>
        <w:rPr/>
        <w:t>probabilistic</w:t>
      </w:r>
      <w:r>
        <w:rPr>
          <w:spacing w:val="23"/>
        </w:rPr>
        <w:t> </w:t>
      </w:r>
      <w:r>
        <w:rPr/>
        <w:t>models</w:t>
      </w:r>
      <w:r>
        <w:rPr>
          <w:spacing w:val="23"/>
        </w:rPr>
        <w:t> </w:t>
      </w:r>
      <w:r>
        <w:rPr/>
        <w:t>have</w:t>
      </w:r>
      <w:r>
        <w:rPr>
          <w:spacing w:val="23"/>
        </w:rPr>
        <w:t> </w:t>
      </w:r>
      <w:r>
        <w:rPr/>
        <w:t>a</w:t>
      </w:r>
      <w:r>
        <w:rPr>
          <w:spacing w:val="23"/>
        </w:rPr>
        <w:t> </w:t>
      </w:r>
      <w:r>
        <w:rPr/>
        <w:t>major</w:t>
      </w:r>
      <w:r>
        <w:rPr>
          <w:spacing w:val="23"/>
        </w:rPr>
        <w:t> </w:t>
      </w:r>
      <w:r>
        <w:rPr/>
        <w:t>effect</w:t>
      </w:r>
      <w:r>
        <w:rPr>
          <w:spacing w:val="23"/>
        </w:rPr>
        <w:t> </w:t>
      </w:r>
      <w:r>
        <w:rPr/>
        <w:t>on</w:t>
      </w:r>
      <w:r>
        <w:rPr>
          <w:spacing w:val="23"/>
        </w:rPr>
        <w:t> </w:t>
      </w:r>
      <w:r>
        <w:rPr/>
        <w:t>the</w:t>
      </w:r>
      <w:r>
        <w:rPr>
          <w:spacing w:val="23"/>
        </w:rPr>
        <w:t> </w:t>
      </w:r>
      <w:r>
        <w:rPr/>
        <w:t>results</w:t>
      </w:r>
      <w:r>
        <w:rPr>
          <w:spacing w:val="23"/>
        </w:rPr>
        <w:t> </w:t>
      </w:r>
      <w:r>
        <w:rPr/>
        <w:t>obtained,</w:t>
      </w:r>
      <w:r>
        <w:rPr>
          <w:spacing w:val="23"/>
        </w:rPr>
        <w:t> </w:t>
      </w:r>
      <w:r>
        <w:rPr/>
        <w:t>see</w:t>
      </w:r>
      <w:r>
        <w:rPr>
          <w:spacing w:val="23"/>
        </w:rPr>
        <w:t> </w:t>
      </w:r>
      <w:r>
        <w:rPr/>
        <w:t>section</w:t>
      </w:r>
    </w:p>
    <w:p>
      <w:pPr>
        <w:pStyle w:val="BodyText"/>
        <w:spacing w:line="312" w:lineRule="auto" w:before="5"/>
        <w:ind w:left="177" w:right="113"/>
        <w:jc w:val="both"/>
      </w:pPr>
      <w:r>
        <w:rPr/>
        <w:t>3.2. Step (4) should be undertaken with one of the methods summarized in section 3.3, depending on the application. Step (5) is necessary insofar as the sensitivity of any results (deterministic or probabilistic) should be assessed before a decision is taken.</w:t>
      </w:r>
    </w:p>
    <w:p>
      <w:pPr>
        <w:pStyle w:val="BodyText"/>
        <w:rPr>
          <w:sz w:val="26"/>
        </w:rPr>
      </w:pPr>
    </w:p>
    <w:p>
      <w:pPr>
        <w:pStyle w:val="ListParagraph"/>
        <w:numPr>
          <w:ilvl w:val="2"/>
          <w:numId w:val="22"/>
        </w:numPr>
        <w:tabs>
          <w:tab w:pos="1085" w:val="left" w:leader="none"/>
        </w:tabs>
        <w:spacing w:line="240" w:lineRule="auto" w:before="224" w:after="0"/>
        <w:ind w:left="1084" w:right="0" w:hanging="907"/>
        <w:jc w:val="both"/>
        <w:rPr>
          <w:sz w:val="18"/>
        </w:rPr>
      </w:pPr>
      <w:r>
        <w:rPr>
          <w:sz w:val="24"/>
          <w:u w:val="single"/>
        </w:rPr>
        <w:t>Probabilistic</w:t>
      </w:r>
      <w:r>
        <w:rPr>
          <w:spacing w:val="-2"/>
          <w:sz w:val="24"/>
          <w:u w:val="single"/>
        </w:rPr>
        <w:t> </w:t>
      </w:r>
      <w:r>
        <w:rPr>
          <w:sz w:val="24"/>
          <w:u w:val="single"/>
        </w:rPr>
        <w:t>Modelling</w:t>
      </w:r>
    </w:p>
    <w:p>
      <w:pPr>
        <w:pStyle w:val="BodyText"/>
        <w:spacing w:before="3"/>
        <w:rPr>
          <w:sz w:val="20"/>
        </w:rPr>
      </w:pPr>
    </w:p>
    <w:p>
      <w:pPr>
        <w:pStyle w:val="BodyText"/>
        <w:spacing w:line="312" w:lineRule="auto" w:before="91"/>
        <w:ind w:left="177" w:right="112"/>
        <w:jc w:val="both"/>
      </w:pPr>
      <w:r>
        <w:rPr/>
        <w:t>For the particular failure mode under consideration, uncertainty modeling must be undertaken with respect to those variables in the corresponding limit state function whose variability is judged to important (basic random variables). Most engineering structures are affected by the following types of uncertainty:</w:t>
      </w:r>
    </w:p>
    <w:p>
      <w:pPr>
        <w:pStyle w:val="BodyText"/>
        <w:spacing w:before="8"/>
        <w:rPr>
          <w:sz w:val="31"/>
        </w:rPr>
      </w:pPr>
    </w:p>
    <w:p>
      <w:pPr>
        <w:pStyle w:val="ListParagraph"/>
        <w:numPr>
          <w:ilvl w:val="0"/>
          <w:numId w:val="19"/>
        </w:numPr>
        <w:tabs>
          <w:tab w:pos="397" w:val="left" w:leader="none"/>
        </w:tabs>
        <w:spacing w:line="312" w:lineRule="auto" w:before="0" w:after="0"/>
        <w:ind w:left="396" w:right="109" w:hanging="219"/>
        <w:jc w:val="both"/>
        <w:rPr>
          <w:sz w:val="24"/>
        </w:rPr>
      </w:pPr>
      <w:r>
        <w:rPr>
          <w:sz w:val="24"/>
        </w:rPr>
        <w:t>intrincic physical or mechanical uncertainty; when considered at a fundamental level, this uncertainty source is often best described by stochastic processes in time and space, although it is often modelled more simply in engineering applications through random variables.</w:t>
      </w:r>
    </w:p>
    <w:p>
      <w:pPr>
        <w:pStyle w:val="ListParagraph"/>
        <w:numPr>
          <w:ilvl w:val="0"/>
          <w:numId w:val="19"/>
        </w:numPr>
        <w:tabs>
          <w:tab w:pos="397" w:val="left" w:leader="none"/>
        </w:tabs>
        <w:spacing w:line="312" w:lineRule="auto" w:before="5" w:after="0"/>
        <w:ind w:left="396" w:right="110" w:hanging="219"/>
        <w:jc w:val="left"/>
        <w:rPr>
          <w:sz w:val="24"/>
        </w:rPr>
      </w:pPr>
      <w:r>
        <w:rPr>
          <w:sz w:val="24"/>
        </w:rPr>
        <w:t>measurement uncertainty; this may arise from random and systematic errors in the measurement of these physical quantities</w:t>
      </w:r>
    </w:p>
    <w:p>
      <w:pPr>
        <w:pStyle w:val="ListParagraph"/>
        <w:numPr>
          <w:ilvl w:val="0"/>
          <w:numId w:val="19"/>
        </w:numPr>
        <w:tabs>
          <w:tab w:pos="397" w:val="left" w:leader="none"/>
        </w:tabs>
        <w:spacing w:line="240" w:lineRule="auto" w:before="3" w:after="0"/>
        <w:ind w:left="396" w:right="0" w:hanging="219"/>
        <w:jc w:val="left"/>
        <w:rPr>
          <w:sz w:val="24"/>
        </w:rPr>
      </w:pPr>
      <w:r>
        <w:rPr>
          <w:sz w:val="24"/>
        </w:rPr>
        <w:t>statistical uncertainty; due to reliance on limited information and finite</w:t>
      </w:r>
      <w:r>
        <w:rPr>
          <w:spacing w:val="-3"/>
          <w:sz w:val="24"/>
        </w:rPr>
        <w:t> </w:t>
      </w:r>
      <w:r>
        <w:rPr>
          <w:sz w:val="24"/>
        </w:rPr>
        <w:t>samples</w:t>
      </w:r>
    </w:p>
    <w:p>
      <w:pPr>
        <w:pStyle w:val="ListParagraph"/>
        <w:numPr>
          <w:ilvl w:val="0"/>
          <w:numId w:val="19"/>
        </w:numPr>
        <w:tabs>
          <w:tab w:pos="397" w:val="left" w:leader="none"/>
        </w:tabs>
        <w:spacing w:line="240" w:lineRule="auto" w:before="84" w:after="0"/>
        <w:ind w:left="396" w:right="0" w:hanging="219"/>
        <w:jc w:val="left"/>
        <w:rPr>
          <w:sz w:val="24"/>
        </w:rPr>
      </w:pPr>
      <w:r>
        <w:rPr>
          <w:sz w:val="24"/>
        </w:rPr>
        <w:t>model uncertainty; related to the predictive accuracy of calculation models used</w:t>
      </w:r>
    </w:p>
    <w:p>
      <w:pPr>
        <w:pStyle w:val="BodyText"/>
        <w:spacing w:before="7"/>
        <w:rPr>
          <w:sz w:val="38"/>
        </w:rPr>
      </w:pPr>
    </w:p>
    <w:p>
      <w:pPr>
        <w:pStyle w:val="BodyText"/>
        <w:spacing w:line="312" w:lineRule="auto"/>
        <w:ind w:left="177" w:right="112"/>
        <w:jc w:val="both"/>
      </w:pPr>
      <w:r>
        <w:rPr/>
        <w:t>The physical uncertainty in a basic random variable is represented by adopting a suitable probability distribution, described in terms of its type and relevant distribution parameters. The results of the reliability analysis can be very sensitive to the tail of the probability distribution, which depends primarily on the type of distribution adopted. A proper choice of distribution type is therefore important.</w:t>
      </w:r>
    </w:p>
    <w:p>
      <w:pPr>
        <w:pStyle w:val="BodyText"/>
        <w:spacing w:before="9"/>
        <w:rPr>
          <w:sz w:val="31"/>
        </w:rPr>
      </w:pPr>
    </w:p>
    <w:p>
      <w:pPr>
        <w:pStyle w:val="BodyText"/>
        <w:spacing w:line="312" w:lineRule="auto" w:before="1"/>
        <w:ind w:left="177" w:right="113"/>
        <w:jc w:val="both"/>
      </w:pPr>
      <w:r>
        <w:rPr/>
        <w:t>For most commonly encountered basic random variables there have been studies (of varying detail) that contain guidance on the choice of distribution and its parameters. If direct measurements of a particular quantity are available, then existing, so-called </w:t>
      </w:r>
      <w:r>
        <w:rPr>
          <w:i/>
        </w:rPr>
        <w:t>a priori</w:t>
      </w:r>
      <w:r>
        <w:rPr/>
        <w:t>, information (e.g. probabilistic models found in published studies) should be used as prior statistics with a relatively large equivalent sample size (n' ≈ 50).</w:t>
      </w:r>
    </w:p>
    <w:p>
      <w:pPr>
        <w:pStyle w:val="BodyText"/>
        <w:spacing w:before="9"/>
        <w:rPr>
          <w:sz w:val="31"/>
        </w:rPr>
      </w:pPr>
    </w:p>
    <w:p>
      <w:pPr>
        <w:pStyle w:val="BodyText"/>
        <w:ind w:left="177"/>
        <w:jc w:val="both"/>
      </w:pPr>
      <w:r>
        <w:rPr/>
        <w:t>The following comments may also be helpful in selecting a suitable probabilistic model.</w:t>
      </w:r>
    </w:p>
    <w:p>
      <w:pPr>
        <w:spacing w:after="0"/>
        <w:jc w:val="both"/>
        <w:sectPr>
          <w:pgSz w:w="11910" w:h="16840"/>
          <w:pgMar w:header="0" w:footer="788" w:top="1460" w:bottom="980" w:left="1240" w:right="1300"/>
        </w:sectPr>
      </w:pPr>
    </w:p>
    <w:p>
      <w:pPr>
        <w:pStyle w:val="BodyText"/>
        <w:spacing w:before="7"/>
        <w:rPr>
          <w:sz w:val="16"/>
        </w:rPr>
      </w:pPr>
    </w:p>
    <w:p>
      <w:pPr>
        <w:pStyle w:val="BodyText"/>
        <w:spacing w:before="91"/>
        <w:ind w:left="177"/>
      </w:pPr>
      <w:r>
        <w:rPr>
          <w:u w:val="single"/>
        </w:rPr>
        <w:t>Material properties</w:t>
      </w:r>
    </w:p>
    <w:p>
      <w:pPr>
        <w:pStyle w:val="ListParagraph"/>
        <w:numPr>
          <w:ilvl w:val="0"/>
          <w:numId w:val="19"/>
        </w:numPr>
        <w:tabs>
          <w:tab w:pos="397" w:val="left" w:leader="none"/>
        </w:tabs>
        <w:spacing w:line="240" w:lineRule="auto" w:before="84" w:after="0"/>
        <w:ind w:left="396" w:right="0" w:hanging="219"/>
        <w:jc w:val="left"/>
        <w:rPr>
          <w:sz w:val="24"/>
        </w:rPr>
      </w:pPr>
      <w:r>
        <w:rPr>
          <w:sz w:val="24"/>
        </w:rPr>
        <w:t>frequency of negative values is normally</w:t>
      </w:r>
      <w:r>
        <w:rPr>
          <w:spacing w:val="-6"/>
          <w:sz w:val="24"/>
        </w:rPr>
        <w:t> </w:t>
      </w:r>
      <w:r>
        <w:rPr>
          <w:sz w:val="24"/>
        </w:rPr>
        <w:t>zero</w:t>
      </w:r>
    </w:p>
    <w:p>
      <w:pPr>
        <w:pStyle w:val="ListParagraph"/>
        <w:numPr>
          <w:ilvl w:val="0"/>
          <w:numId w:val="19"/>
        </w:numPr>
        <w:tabs>
          <w:tab w:pos="397" w:val="left" w:leader="none"/>
        </w:tabs>
        <w:spacing w:line="240" w:lineRule="auto" w:before="84" w:after="0"/>
        <w:ind w:left="396" w:right="0" w:hanging="219"/>
        <w:jc w:val="left"/>
        <w:rPr>
          <w:sz w:val="24"/>
        </w:rPr>
      </w:pPr>
      <w:r>
        <w:rPr>
          <w:sz w:val="24"/>
        </w:rPr>
        <w:t>log-normal distribution can often be</w:t>
      </w:r>
      <w:r>
        <w:rPr>
          <w:spacing w:val="-4"/>
          <w:sz w:val="24"/>
        </w:rPr>
        <w:t> </w:t>
      </w:r>
      <w:r>
        <w:rPr>
          <w:sz w:val="24"/>
        </w:rPr>
        <w:t>used</w:t>
      </w:r>
    </w:p>
    <w:p>
      <w:pPr>
        <w:pStyle w:val="ListParagraph"/>
        <w:numPr>
          <w:ilvl w:val="0"/>
          <w:numId w:val="19"/>
        </w:numPr>
        <w:tabs>
          <w:tab w:pos="397" w:val="left" w:leader="none"/>
        </w:tabs>
        <w:spacing w:line="312" w:lineRule="auto" w:before="84" w:after="0"/>
        <w:ind w:left="396" w:right="113" w:hanging="219"/>
        <w:jc w:val="both"/>
        <w:rPr>
          <w:sz w:val="24"/>
        </w:rPr>
      </w:pPr>
      <w:r>
        <w:rPr>
          <w:sz w:val="24"/>
        </w:rPr>
        <w:t>distribution type and parameters should, in general, be derived from large homogeneous samples and with due account of established distributions for similar variables (e.g. for a new high strength steel grade, the information on properties of existing grades should be consulted); tests should be planned so that they are, as far as possible, a realistic description of the potential use of the material in real</w:t>
      </w:r>
      <w:r>
        <w:rPr>
          <w:spacing w:val="-1"/>
          <w:sz w:val="24"/>
        </w:rPr>
        <w:t> </w:t>
      </w:r>
      <w:r>
        <w:rPr>
          <w:sz w:val="24"/>
        </w:rPr>
        <w:t>applications.</w:t>
      </w:r>
    </w:p>
    <w:p>
      <w:pPr>
        <w:pStyle w:val="BodyText"/>
        <w:spacing w:before="6"/>
        <w:ind w:left="177"/>
      </w:pPr>
      <w:r>
        <w:rPr>
          <w:u w:val="single"/>
        </w:rPr>
        <w:t>Geometric parameters</w:t>
      </w:r>
    </w:p>
    <w:p>
      <w:pPr>
        <w:pStyle w:val="ListParagraph"/>
        <w:numPr>
          <w:ilvl w:val="0"/>
          <w:numId w:val="19"/>
        </w:numPr>
        <w:tabs>
          <w:tab w:pos="397" w:val="left" w:leader="none"/>
        </w:tabs>
        <w:spacing w:line="240" w:lineRule="auto" w:before="84" w:after="0"/>
        <w:ind w:left="396" w:right="0" w:hanging="219"/>
        <w:jc w:val="left"/>
        <w:rPr>
          <w:sz w:val="24"/>
        </w:rPr>
      </w:pPr>
      <w:r>
        <w:rPr>
          <w:sz w:val="24"/>
        </w:rPr>
        <w:t>variability in structural dimensions and overall geometry tends to be</w:t>
      </w:r>
      <w:r>
        <w:rPr>
          <w:spacing w:val="-2"/>
          <w:sz w:val="24"/>
        </w:rPr>
        <w:t> </w:t>
      </w:r>
      <w:r>
        <w:rPr>
          <w:sz w:val="24"/>
        </w:rPr>
        <w:t>small</w:t>
      </w:r>
    </w:p>
    <w:p>
      <w:pPr>
        <w:pStyle w:val="ListParagraph"/>
        <w:numPr>
          <w:ilvl w:val="0"/>
          <w:numId w:val="19"/>
        </w:numPr>
        <w:tabs>
          <w:tab w:pos="397" w:val="left" w:leader="none"/>
        </w:tabs>
        <w:spacing w:line="240" w:lineRule="auto" w:before="84" w:after="0"/>
        <w:ind w:left="396" w:right="0" w:hanging="219"/>
        <w:jc w:val="left"/>
        <w:rPr>
          <w:sz w:val="24"/>
        </w:rPr>
      </w:pPr>
      <w:r>
        <w:rPr>
          <w:sz w:val="24"/>
        </w:rPr>
        <w:t>dimensional variables can be adequately modelled by the normal or log-normal</w:t>
      </w:r>
      <w:r>
        <w:rPr>
          <w:spacing w:val="-1"/>
          <w:sz w:val="24"/>
        </w:rPr>
        <w:t> </w:t>
      </w:r>
      <w:r>
        <w:rPr>
          <w:sz w:val="24"/>
        </w:rPr>
        <w:t>distribution</w:t>
      </w:r>
    </w:p>
    <w:p>
      <w:pPr>
        <w:pStyle w:val="ListParagraph"/>
        <w:numPr>
          <w:ilvl w:val="0"/>
          <w:numId w:val="19"/>
        </w:numPr>
        <w:tabs>
          <w:tab w:pos="397" w:val="left" w:leader="none"/>
        </w:tabs>
        <w:spacing w:line="312" w:lineRule="auto" w:before="84" w:after="0"/>
        <w:ind w:left="396" w:right="112" w:hanging="219"/>
        <w:jc w:val="both"/>
        <w:rPr>
          <w:sz w:val="24"/>
        </w:rPr>
      </w:pPr>
      <w:r>
        <w:rPr>
          <w:sz w:val="24"/>
        </w:rPr>
        <w:t>if the variable is physically bounded, a truncated distribution may be appropriate (e.g. location of reinforcement); such bounds should always be carefully considered to avoid entering into physically inadmissible</w:t>
      </w:r>
      <w:r>
        <w:rPr>
          <w:spacing w:val="-2"/>
          <w:sz w:val="24"/>
        </w:rPr>
        <w:t> </w:t>
      </w:r>
      <w:r>
        <w:rPr>
          <w:sz w:val="24"/>
        </w:rPr>
        <w:t>ranges</w:t>
      </w:r>
    </w:p>
    <w:p>
      <w:pPr>
        <w:pStyle w:val="ListParagraph"/>
        <w:numPr>
          <w:ilvl w:val="0"/>
          <w:numId w:val="19"/>
        </w:numPr>
        <w:tabs>
          <w:tab w:pos="397" w:val="left" w:leader="none"/>
        </w:tabs>
        <w:spacing w:line="312" w:lineRule="auto" w:before="4" w:after="0"/>
        <w:ind w:left="396" w:right="112" w:hanging="219"/>
        <w:jc w:val="left"/>
        <w:rPr>
          <w:sz w:val="24"/>
        </w:rPr>
      </w:pPr>
      <w:r>
        <w:rPr>
          <w:sz w:val="24"/>
        </w:rPr>
        <w:t>variables linked to manufacturing can have large coefficients of variation (e.g. imperfections, misalignments, residual stresses, weld</w:t>
      </w:r>
      <w:r>
        <w:rPr>
          <w:spacing w:val="-8"/>
          <w:sz w:val="24"/>
        </w:rPr>
        <w:t> </w:t>
      </w:r>
      <w:r>
        <w:rPr>
          <w:sz w:val="24"/>
        </w:rPr>
        <w:t>defects).</w:t>
      </w:r>
    </w:p>
    <w:p>
      <w:pPr>
        <w:pStyle w:val="BodyText"/>
        <w:spacing w:before="2"/>
        <w:ind w:left="177"/>
      </w:pPr>
      <w:r>
        <w:rPr>
          <w:u w:val="single"/>
        </w:rPr>
        <w:t>Load variables</w:t>
      </w:r>
    </w:p>
    <w:p>
      <w:pPr>
        <w:pStyle w:val="ListParagraph"/>
        <w:numPr>
          <w:ilvl w:val="0"/>
          <w:numId w:val="19"/>
        </w:numPr>
        <w:tabs>
          <w:tab w:pos="397" w:val="left" w:leader="none"/>
        </w:tabs>
        <w:spacing w:line="240" w:lineRule="auto" w:before="84" w:after="0"/>
        <w:ind w:left="396" w:right="0" w:hanging="219"/>
        <w:jc w:val="left"/>
        <w:rPr>
          <w:sz w:val="24"/>
        </w:rPr>
      </w:pPr>
      <w:r>
        <w:rPr>
          <w:sz w:val="24"/>
        </w:rPr>
        <w:t>loads should be divided according to their time variation (permanent, variable,</w:t>
      </w:r>
      <w:r>
        <w:rPr>
          <w:spacing w:val="3"/>
          <w:sz w:val="24"/>
        </w:rPr>
        <w:t> </w:t>
      </w:r>
      <w:r>
        <w:rPr>
          <w:sz w:val="24"/>
        </w:rPr>
        <w:t>accidental)</w:t>
      </w:r>
    </w:p>
    <w:p>
      <w:pPr>
        <w:pStyle w:val="ListParagraph"/>
        <w:numPr>
          <w:ilvl w:val="0"/>
          <w:numId w:val="19"/>
        </w:numPr>
        <w:tabs>
          <w:tab w:pos="397" w:val="left" w:leader="none"/>
        </w:tabs>
        <w:spacing w:line="312" w:lineRule="auto" w:before="84" w:after="0"/>
        <w:ind w:left="396" w:right="111" w:hanging="219"/>
        <w:jc w:val="left"/>
        <w:rPr>
          <w:sz w:val="24"/>
        </w:rPr>
      </w:pPr>
      <w:r>
        <w:rPr>
          <w:sz w:val="24"/>
        </w:rPr>
        <w:t>in certain cases, permanent loads consist of the sum of many individual elements; they may be represented by a normal</w:t>
      </w:r>
      <w:r>
        <w:rPr>
          <w:spacing w:val="-5"/>
          <w:sz w:val="24"/>
        </w:rPr>
        <w:t> </w:t>
      </w:r>
      <w:r>
        <w:rPr>
          <w:sz w:val="24"/>
        </w:rPr>
        <w:t>distribution</w:t>
      </w:r>
    </w:p>
    <w:p>
      <w:pPr>
        <w:pStyle w:val="ListParagraph"/>
        <w:numPr>
          <w:ilvl w:val="0"/>
          <w:numId w:val="19"/>
        </w:numPr>
        <w:tabs>
          <w:tab w:pos="397" w:val="left" w:leader="none"/>
        </w:tabs>
        <w:spacing w:line="312" w:lineRule="auto" w:before="3" w:after="0"/>
        <w:ind w:left="396" w:right="111" w:hanging="219"/>
        <w:jc w:val="both"/>
        <w:rPr>
          <w:sz w:val="24"/>
        </w:rPr>
      </w:pPr>
      <w:r>
        <w:rPr>
          <w:sz w:val="24"/>
        </w:rPr>
        <w:t>for single variable loads, the form of the point-in-time distribution is seldom of immediate relevance; often the important random variable is the magnitude of the largest extreme load that occurs during a specified reference period for which the probability of failure is calculated (e.g. annual, lifetime)</w:t>
      </w:r>
    </w:p>
    <w:p>
      <w:pPr>
        <w:pStyle w:val="ListParagraph"/>
        <w:numPr>
          <w:ilvl w:val="0"/>
          <w:numId w:val="19"/>
        </w:numPr>
        <w:tabs>
          <w:tab w:pos="397" w:val="left" w:leader="none"/>
        </w:tabs>
        <w:spacing w:line="312" w:lineRule="auto" w:before="5" w:after="0"/>
        <w:ind w:left="396" w:right="112" w:hanging="219"/>
        <w:jc w:val="left"/>
        <w:rPr>
          <w:sz w:val="24"/>
        </w:rPr>
      </w:pPr>
      <w:r>
        <w:rPr>
          <w:sz w:val="24"/>
        </w:rPr>
        <w:t>the probability distribution of the largest extreme could be approximated by one of the asymptotic extreme-value distributions (Gumbel, sometimes</w:t>
      </w:r>
      <w:r>
        <w:rPr>
          <w:spacing w:val="-2"/>
          <w:sz w:val="24"/>
        </w:rPr>
        <w:t> </w:t>
      </w:r>
      <w:r>
        <w:rPr>
          <w:sz w:val="24"/>
        </w:rPr>
        <w:t>Frechet)</w:t>
      </w:r>
    </w:p>
    <w:p>
      <w:pPr>
        <w:pStyle w:val="ListParagraph"/>
        <w:numPr>
          <w:ilvl w:val="0"/>
          <w:numId w:val="19"/>
        </w:numPr>
        <w:tabs>
          <w:tab w:pos="397" w:val="left" w:leader="none"/>
        </w:tabs>
        <w:spacing w:line="312" w:lineRule="auto" w:before="2" w:after="0"/>
        <w:ind w:left="396" w:right="113" w:hanging="219"/>
        <w:jc w:val="left"/>
        <w:rPr>
          <w:sz w:val="24"/>
        </w:rPr>
      </w:pPr>
      <w:r>
        <w:rPr>
          <w:sz w:val="24"/>
        </w:rPr>
        <w:t>when more than one variable loads act in combination, load modelling is often undertaken using simplified rules suitable for FORM/SORM</w:t>
      </w:r>
      <w:r>
        <w:rPr>
          <w:spacing w:val="-7"/>
          <w:sz w:val="24"/>
        </w:rPr>
        <w:t> </w:t>
      </w:r>
      <w:r>
        <w:rPr>
          <w:sz w:val="24"/>
        </w:rPr>
        <w:t>analysis.</w:t>
      </w:r>
    </w:p>
    <w:p>
      <w:pPr>
        <w:pStyle w:val="BodyText"/>
        <w:spacing w:before="6"/>
        <w:rPr>
          <w:sz w:val="31"/>
        </w:rPr>
      </w:pPr>
    </w:p>
    <w:p>
      <w:pPr>
        <w:pStyle w:val="BodyText"/>
        <w:spacing w:line="312" w:lineRule="auto"/>
        <w:ind w:left="177"/>
      </w:pPr>
      <w:r>
        <w:rPr/>
        <w:t>In selecting a distribution type to account for physical uncertainty of a basic random variable afresh, the following procedure may be followed:</w:t>
      </w:r>
    </w:p>
    <w:p>
      <w:pPr>
        <w:pStyle w:val="BodyText"/>
        <w:spacing w:before="6"/>
        <w:rPr>
          <w:sz w:val="31"/>
        </w:rPr>
      </w:pPr>
    </w:p>
    <w:p>
      <w:pPr>
        <w:pStyle w:val="ListParagraph"/>
        <w:numPr>
          <w:ilvl w:val="0"/>
          <w:numId w:val="19"/>
        </w:numPr>
        <w:tabs>
          <w:tab w:pos="397" w:val="left" w:leader="none"/>
        </w:tabs>
        <w:spacing w:line="312" w:lineRule="auto" w:before="0" w:after="0"/>
        <w:ind w:left="396" w:right="111" w:hanging="219"/>
        <w:jc w:val="left"/>
        <w:rPr>
          <w:sz w:val="24"/>
        </w:rPr>
      </w:pPr>
      <w:r>
        <w:rPr>
          <w:sz w:val="24"/>
        </w:rPr>
        <w:t>based on experience from similar type of variables and physical knowledge, choose a set of possible distributions</w:t>
      </w:r>
    </w:p>
    <w:p>
      <w:pPr>
        <w:pStyle w:val="ListParagraph"/>
        <w:numPr>
          <w:ilvl w:val="0"/>
          <w:numId w:val="19"/>
        </w:numPr>
        <w:tabs>
          <w:tab w:pos="397" w:val="left" w:leader="none"/>
        </w:tabs>
        <w:spacing w:line="312" w:lineRule="auto" w:before="2" w:after="0"/>
        <w:ind w:left="396" w:right="113" w:hanging="219"/>
        <w:jc w:val="both"/>
        <w:rPr>
          <w:sz w:val="24"/>
        </w:rPr>
      </w:pPr>
      <w:r>
        <w:rPr>
          <w:sz w:val="24"/>
        </w:rPr>
        <w:t>obtain a reasonable sample of observations ensuring that, as far as possible, the sample points are from a homogeneous group (i.e. avoid systematic variations within the sample) and that the sampling reflects potential uses and</w:t>
      </w:r>
      <w:r>
        <w:rPr>
          <w:spacing w:val="-2"/>
          <w:sz w:val="24"/>
        </w:rPr>
        <w:t> </w:t>
      </w:r>
      <w:r>
        <w:rPr>
          <w:sz w:val="24"/>
        </w:rPr>
        <w:t>applications</w:t>
      </w:r>
    </w:p>
    <w:p>
      <w:pPr>
        <w:spacing w:after="0" w:line="312" w:lineRule="auto"/>
        <w:jc w:val="both"/>
        <w:rPr>
          <w:sz w:val="24"/>
        </w:rPr>
        <w:sectPr>
          <w:pgSz w:w="11910" w:h="16840"/>
          <w:pgMar w:header="0" w:footer="788" w:top="1600" w:bottom="980" w:left="1240" w:right="1300"/>
        </w:sectPr>
      </w:pPr>
    </w:p>
    <w:p>
      <w:pPr>
        <w:pStyle w:val="ListParagraph"/>
        <w:numPr>
          <w:ilvl w:val="0"/>
          <w:numId w:val="19"/>
        </w:numPr>
        <w:tabs>
          <w:tab w:pos="397" w:val="left" w:leader="none"/>
        </w:tabs>
        <w:spacing w:line="312" w:lineRule="auto" w:before="62" w:after="0"/>
        <w:ind w:left="396" w:right="112" w:hanging="219"/>
        <w:jc w:val="both"/>
        <w:rPr>
          <w:sz w:val="24"/>
        </w:rPr>
      </w:pPr>
      <w:r>
        <w:rPr>
          <w:sz w:val="24"/>
        </w:rPr>
        <w:t>evaluate by an appropriate method the parameters of the candidate distributions using the sample data; the method of maximum likelihood is recommended but evaluation by alternative methods (moment estimates, least-square fit, graphical methods) may also be carried out for</w:t>
      </w:r>
      <w:r>
        <w:rPr>
          <w:spacing w:val="-3"/>
          <w:sz w:val="24"/>
        </w:rPr>
        <w:t> </w:t>
      </w:r>
      <w:r>
        <w:rPr>
          <w:sz w:val="24"/>
        </w:rPr>
        <w:t>comparison.</w:t>
      </w:r>
    </w:p>
    <w:p>
      <w:pPr>
        <w:pStyle w:val="ListParagraph"/>
        <w:numPr>
          <w:ilvl w:val="0"/>
          <w:numId w:val="19"/>
        </w:numPr>
        <w:tabs>
          <w:tab w:pos="397" w:val="left" w:leader="none"/>
        </w:tabs>
        <w:spacing w:line="312" w:lineRule="auto" w:before="5" w:after="0"/>
        <w:ind w:left="396" w:right="112" w:hanging="219"/>
        <w:jc w:val="both"/>
        <w:rPr>
          <w:sz w:val="24"/>
        </w:rPr>
      </w:pPr>
      <w:r>
        <w:rPr>
          <w:sz w:val="24"/>
        </w:rPr>
        <w:t>compare the sample data with the resulting distributions; this can be done graphically (histogram vs. pdf, probability paper plots) or through the use of goodness-of-fit tests (Chi- square, Kolmogorov-Smirnov</w:t>
      </w:r>
      <w:r>
        <w:rPr>
          <w:spacing w:val="-2"/>
          <w:sz w:val="24"/>
        </w:rPr>
        <w:t> </w:t>
      </w:r>
      <w:r>
        <w:rPr>
          <w:sz w:val="24"/>
        </w:rPr>
        <w:t>tests)</w:t>
      </w:r>
    </w:p>
    <w:p>
      <w:pPr>
        <w:pStyle w:val="BodyText"/>
        <w:spacing w:before="7"/>
        <w:rPr>
          <w:sz w:val="31"/>
        </w:rPr>
      </w:pPr>
    </w:p>
    <w:p>
      <w:pPr>
        <w:pStyle w:val="BodyText"/>
        <w:spacing w:line="312" w:lineRule="auto"/>
        <w:ind w:left="177" w:right="111"/>
        <w:jc w:val="both"/>
      </w:pPr>
      <w:r>
        <w:rPr/>
        <w:t>If more than one distributions give equally good results (or if the goodness-of-fit tests are acceptable to the same significance level), it is recommended to choose the distribution that will result in the smaller reliability. This implies choosing distributions with heavy left tails for resistance variables (material properties, geometry excluding tolerances) and heavy right tails for loading variables (manufacturing tolerances, defects and</w:t>
      </w:r>
      <w:r>
        <w:rPr>
          <w:spacing w:val="-4"/>
        </w:rPr>
        <w:t> </w:t>
      </w:r>
      <w:r>
        <w:rPr/>
        <w:t>loads).</w:t>
      </w:r>
    </w:p>
    <w:p>
      <w:pPr>
        <w:pStyle w:val="BodyText"/>
        <w:spacing w:before="9"/>
        <w:rPr>
          <w:sz w:val="31"/>
        </w:rPr>
      </w:pPr>
    </w:p>
    <w:p>
      <w:pPr>
        <w:pStyle w:val="BodyText"/>
        <w:spacing w:line="312" w:lineRule="auto"/>
        <w:ind w:left="177" w:right="111"/>
        <w:jc w:val="both"/>
      </w:pPr>
      <w:r>
        <w:rPr/>
        <w:t>Capturing the essential features of physical uncertainty in a load or in a structure property through a random variable model is perhaps the simplest way of modeling uncertainty and quantifying its effect on failure probability. In general, loads are functions of both time and position on any particular structure. Equally, material properties and dimensions of even a single structural member, e.g. a RC floor slab, are functions which vary both in time and in space. Such random functions are usually denoted as random (or stochastic) processes when time variation is the most important factor and as random fields when spatial variation is considered.</w:t>
      </w:r>
    </w:p>
    <w:p>
      <w:pPr>
        <w:pStyle w:val="BodyText"/>
        <w:spacing w:before="2"/>
        <w:rPr>
          <w:sz w:val="32"/>
        </w:rPr>
      </w:pPr>
    </w:p>
    <w:p>
      <w:pPr>
        <w:pStyle w:val="BodyText"/>
        <w:spacing w:line="312" w:lineRule="auto"/>
        <w:ind w:left="177" w:right="112"/>
        <w:jc w:val="both"/>
        <w:rPr>
          <w:i/>
        </w:rPr>
      </w:pPr>
      <w:r>
        <w:rPr/>
        <w:t>Fig. C.4(a) shows schematically a continuous stochastic process, e.g. wind pressure at a particular point on a wall of a structure. The trace of this process over time is obtained through successive realisations of the underlying phenomenon, in this case wind speed, which is clearly a random variable taking on different values within each infinitesimally small time interval,</w:t>
      </w:r>
      <w:r>
        <w:rPr>
          <w:spacing w:val="-2"/>
        </w:rPr>
        <w:t> </w:t>
      </w:r>
      <w:r>
        <w:rPr>
          <w:rFonts w:ascii="Arial" w:hAnsi="Arial"/>
          <w:i/>
          <w:sz w:val="23"/>
        </w:rPr>
        <w:t>δ</w:t>
      </w:r>
      <w:r>
        <w:rPr>
          <w:i/>
        </w:rPr>
        <w:t>t.</w:t>
      </w:r>
    </w:p>
    <w:p>
      <w:pPr>
        <w:pStyle w:val="BodyText"/>
        <w:spacing w:line="312" w:lineRule="auto" w:before="6"/>
        <w:ind w:left="177" w:right="112"/>
        <w:jc w:val="both"/>
      </w:pPr>
      <w:r>
        <w:rPr/>
        <w:t>Fig. C.4(b) depicts a two-dimensional random field, e.g. the spatial variation of concrete strength in a floor slab just after construction. Once again, a random variable, in this case describing the possible outcomes of, say, a core test obtained from any given small area, </w:t>
      </w:r>
      <w:r>
        <w:rPr>
          <w:rFonts w:ascii="Arial" w:hAnsi="Arial"/>
          <w:i/>
          <w:sz w:val="23"/>
        </w:rPr>
        <w:t>δ</w:t>
      </w:r>
      <w:r>
        <w:rPr>
          <w:i/>
        </w:rPr>
        <w:t>A</w:t>
      </w:r>
      <w:r>
        <w:rPr/>
        <w:t>, is the basic kernel from which the random field is built</w:t>
      </w:r>
      <w:r>
        <w:rPr>
          <w:spacing w:val="-15"/>
        </w:rPr>
        <w:t> </w:t>
      </w:r>
      <w:r>
        <w:rPr/>
        <w:t>up.</w:t>
      </w:r>
    </w:p>
    <w:p>
      <w:pPr>
        <w:pStyle w:val="BodyText"/>
        <w:spacing w:before="9"/>
        <w:rPr>
          <w:sz w:val="31"/>
        </w:rPr>
      </w:pPr>
    </w:p>
    <w:p>
      <w:pPr>
        <w:pStyle w:val="BodyText"/>
        <w:spacing w:line="312" w:lineRule="auto"/>
        <w:ind w:left="177" w:right="111"/>
        <w:jc w:val="both"/>
      </w:pPr>
      <w:r>
        <w:rPr/>
        <w:t>In considering either a random process or a random field, it is clear that, apart from the characteristics associated with the random variable describing uncertainty within a small unit (interval or area), laws describing stochastic dependence (or, in simpler terms, correlation) between outcomes in time and/or in space are very important.</w:t>
      </w:r>
    </w:p>
    <w:p>
      <w:pPr>
        <w:spacing w:after="0" w:line="312" w:lineRule="auto"/>
        <w:jc w:val="both"/>
        <w:sectPr>
          <w:pgSz w:w="11910" w:h="16840"/>
          <w:pgMar w:header="0" w:footer="788" w:top="1460" w:bottom="980" w:left="1240" w:right="1300"/>
        </w:sectPr>
      </w:pPr>
    </w:p>
    <w:p>
      <w:pPr>
        <w:pStyle w:val="BodyText"/>
        <w:spacing w:before="7"/>
        <w:rPr>
          <w:sz w:val="16"/>
        </w:rPr>
      </w:pPr>
    </w:p>
    <w:p>
      <w:pPr>
        <w:pStyle w:val="BodyText"/>
        <w:spacing w:line="360" w:lineRule="exact" w:before="27"/>
        <w:ind w:left="177" w:right="110"/>
        <w:jc w:val="both"/>
      </w:pPr>
      <w:r>
        <w:rPr/>
        <w:t>The other three types of uncertainty mentioned above (measurement, statistical, model) also play an important role in the evaluation of reliability. As mentioned in section 2.3, these uncertainties are influenced by the particular method used in, for example, strength analysis and by the collection of additional (possibly, directly obtained) data. These uncertainties  could be rigorously analysed by adopting the approach outlined by eqns (C.8) and (C.9). However, in many practical applications a simpler approach has been adopted insofar as model (and measurement) uncertainty is concerned based on the differences between results predicted by the mathematical model adopted for </w:t>
      </w:r>
      <w:r>
        <w:rPr>
          <w:i/>
        </w:rPr>
        <w:t>g</w:t>
      </w:r>
      <w:r>
        <w:rPr/>
        <w:t>(x) and some more elaborate model believed to be a closer representation of actual conditions. In such cases, a model uncertainty basic random variable X</w:t>
      </w:r>
      <w:r>
        <w:rPr>
          <w:position w:val="-3"/>
          <w:sz w:val="22"/>
        </w:rPr>
        <w:t>m </w:t>
      </w:r>
      <w:r>
        <w:rPr/>
        <w:t>is introduced</w:t>
      </w:r>
      <w:r>
        <w:rPr>
          <w:spacing w:val="-8"/>
        </w:rPr>
        <w:t> </w:t>
      </w:r>
      <w:r>
        <w:rPr/>
        <w:t>where</w:t>
      </w:r>
    </w:p>
    <w:p>
      <w:pPr>
        <w:pStyle w:val="BodyText"/>
        <w:tabs>
          <w:tab w:pos="557" w:val="left" w:leader="none"/>
        </w:tabs>
        <w:spacing w:line="160" w:lineRule="auto"/>
        <w:ind w:left="756" w:right="7129" w:hanging="580"/>
      </w:pPr>
      <w:r>
        <w:rPr/>
        <w:pict>
          <v:shape style="position:absolute;margin-left:79.860001pt;margin-top:6.787033pt;width:7.05pt;height:10pt;mso-position-horizontal-relative:page;mso-position-vertical-relative:paragraph;z-index:-57736" type="#_x0000_t202" filled="false" stroked="false">
            <v:textbox inset="0,0,0,0">
              <w:txbxContent>
                <w:p>
                  <w:pPr>
                    <w:spacing w:line="200" w:lineRule="exact" w:before="0"/>
                    <w:ind w:left="0" w:right="0" w:firstLine="0"/>
                    <w:jc w:val="left"/>
                    <w:rPr>
                      <w:sz w:val="18"/>
                    </w:rPr>
                  </w:pPr>
                  <w:r>
                    <w:rPr>
                      <w:w w:val="100"/>
                      <w:sz w:val="18"/>
                    </w:rPr>
                    <w:t>m</w:t>
                  </w:r>
                </w:p>
              </w:txbxContent>
            </v:textbox>
            <w10:wrap type="none"/>
          </v:shape>
        </w:pict>
      </w:r>
      <w:r>
        <w:rPr>
          <w:position w:val="-7"/>
        </w:rPr>
        <w:t>X</w:t>
        <w:tab/>
        <w:t>=</w:t>
      </w:r>
      <w:r>
        <w:rPr>
          <w:u w:val="single"/>
        </w:rPr>
        <w:t> actual value</w:t>
      </w:r>
      <w:r>
        <w:rPr/>
        <w:t> predicted</w:t>
      </w:r>
      <w:r>
        <w:rPr>
          <w:spacing w:val="1"/>
        </w:rPr>
        <w:t> </w:t>
      </w:r>
      <w:r>
        <w:rPr/>
        <w:t>value</w:t>
      </w:r>
    </w:p>
    <w:p>
      <w:pPr>
        <w:pStyle w:val="BodyText"/>
        <w:spacing w:before="94"/>
        <w:ind w:left="177"/>
      </w:pPr>
      <w:r>
        <w:rPr/>
        <w:t>and the following comments offer some general guidance in estimating the statistics of X</w:t>
      </w:r>
      <w:r>
        <w:rPr>
          <w:position w:val="-3"/>
          <w:sz w:val="22"/>
        </w:rPr>
        <w:t>m</w:t>
      </w:r>
      <w:r>
        <w:rPr/>
        <w:t>:</w:t>
      </w:r>
    </w:p>
    <w:p>
      <w:pPr>
        <w:pStyle w:val="ListParagraph"/>
        <w:numPr>
          <w:ilvl w:val="0"/>
          <w:numId w:val="19"/>
        </w:numPr>
        <w:tabs>
          <w:tab w:pos="397" w:val="left" w:leader="none"/>
        </w:tabs>
        <w:spacing w:line="312" w:lineRule="auto" w:before="48" w:after="0"/>
        <w:ind w:left="396" w:right="112" w:hanging="219"/>
        <w:jc w:val="both"/>
        <w:rPr>
          <w:sz w:val="24"/>
        </w:rPr>
      </w:pPr>
      <w:r>
        <w:rPr>
          <w:sz w:val="24"/>
        </w:rPr>
        <w:t>the mean value of the model uncertainty associated with code calculation models can be larger than unity, reflecting the in-built conservatism of code</w:t>
      </w:r>
      <w:r>
        <w:rPr>
          <w:spacing w:val="-3"/>
          <w:sz w:val="24"/>
        </w:rPr>
        <w:t> </w:t>
      </w:r>
      <w:r>
        <w:rPr>
          <w:sz w:val="24"/>
        </w:rPr>
        <w:t>models</w:t>
      </w:r>
    </w:p>
    <w:p>
      <w:pPr>
        <w:pStyle w:val="ListParagraph"/>
        <w:numPr>
          <w:ilvl w:val="0"/>
          <w:numId w:val="19"/>
        </w:numPr>
        <w:tabs>
          <w:tab w:pos="397" w:val="left" w:leader="none"/>
        </w:tabs>
        <w:spacing w:line="312" w:lineRule="auto" w:before="3" w:after="0"/>
        <w:ind w:left="396" w:right="112" w:hanging="219"/>
        <w:jc w:val="both"/>
        <w:rPr>
          <w:sz w:val="24"/>
        </w:rPr>
      </w:pPr>
      <w:r>
        <w:rPr>
          <w:sz w:val="24"/>
        </w:rPr>
        <w:t>the model uncertainty parameters of a particular calculation model may be evaluated vis-a- vis physical experiments or by comparing the calculation model with a more detailed model (e.g. finite element</w:t>
      </w:r>
      <w:r>
        <w:rPr>
          <w:spacing w:val="-1"/>
          <w:sz w:val="24"/>
        </w:rPr>
        <w:t> </w:t>
      </w:r>
      <w:r>
        <w:rPr>
          <w:sz w:val="24"/>
        </w:rPr>
        <w:t>model)</w:t>
      </w:r>
    </w:p>
    <w:p>
      <w:pPr>
        <w:pStyle w:val="ListParagraph"/>
        <w:numPr>
          <w:ilvl w:val="0"/>
          <w:numId w:val="19"/>
        </w:numPr>
        <w:tabs>
          <w:tab w:pos="397" w:val="left" w:leader="none"/>
        </w:tabs>
        <w:spacing w:line="312" w:lineRule="auto" w:before="3" w:after="0"/>
        <w:ind w:left="396" w:right="111" w:hanging="219"/>
        <w:jc w:val="both"/>
        <w:rPr>
          <w:sz w:val="24"/>
        </w:rPr>
      </w:pPr>
      <w:r>
        <w:rPr>
          <w:sz w:val="24"/>
        </w:rPr>
        <w:t>when experimental results are used, use of measured rather than nominal or characteristic quantities is preferred in calculating the predicted</w:t>
      </w:r>
      <w:r>
        <w:rPr>
          <w:spacing w:val="0"/>
          <w:sz w:val="24"/>
        </w:rPr>
        <w:t> </w:t>
      </w:r>
      <w:r>
        <w:rPr>
          <w:sz w:val="24"/>
        </w:rPr>
        <w:t>value</w:t>
      </w:r>
    </w:p>
    <w:p>
      <w:pPr>
        <w:pStyle w:val="ListParagraph"/>
        <w:numPr>
          <w:ilvl w:val="0"/>
          <w:numId w:val="19"/>
        </w:numPr>
        <w:tabs>
          <w:tab w:pos="397" w:val="left" w:leader="none"/>
        </w:tabs>
        <w:spacing w:line="312" w:lineRule="auto" w:before="3" w:after="0"/>
        <w:ind w:left="396" w:right="111" w:hanging="219"/>
        <w:jc w:val="both"/>
        <w:rPr>
          <w:sz w:val="24"/>
        </w:rPr>
      </w:pPr>
      <w:r>
        <w:rPr>
          <w:sz w:val="24"/>
        </w:rPr>
        <w:t>the use of numerical experiments (e.g. finite element models) has some advantages over physical experiments, since the former ensure well-controlled</w:t>
      </w:r>
      <w:r>
        <w:rPr>
          <w:spacing w:val="-8"/>
          <w:sz w:val="24"/>
        </w:rPr>
        <w:t> </w:t>
      </w:r>
      <w:r>
        <w:rPr>
          <w:sz w:val="24"/>
        </w:rPr>
        <w:t>input.</w:t>
      </w:r>
    </w:p>
    <w:p>
      <w:pPr>
        <w:pStyle w:val="ListParagraph"/>
        <w:numPr>
          <w:ilvl w:val="0"/>
          <w:numId w:val="19"/>
        </w:numPr>
        <w:tabs>
          <w:tab w:pos="340" w:val="left" w:leader="none"/>
        </w:tabs>
        <w:spacing w:line="283" w:lineRule="auto" w:before="2" w:after="0"/>
        <w:ind w:left="396" w:right="113" w:hanging="219"/>
        <w:jc w:val="both"/>
        <w:rPr>
          <w:sz w:val="24"/>
        </w:rPr>
      </w:pPr>
      <w:r>
        <w:rPr>
          <w:sz w:val="24"/>
        </w:rPr>
        <w:t>the choice of a suitable probability distribution for X</w:t>
      </w:r>
      <w:r>
        <w:rPr>
          <w:position w:val="-3"/>
          <w:sz w:val="22"/>
        </w:rPr>
        <w:t>m </w:t>
      </w:r>
      <w:r>
        <w:rPr>
          <w:sz w:val="24"/>
        </w:rPr>
        <w:t>is often governed by mathematical convenience and a normal distribution has been used</w:t>
      </w:r>
      <w:r>
        <w:rPr>
          <w:spacing w:val="-6"/>
          <w:sz w:val="24"/>
        </w:rPr>
        <w:t> </w:t>
      </w:r>
      <w:r>
        <w:rPr>
          <w:sz w:val="24"/>
        </w:rPr>
        <w:t>extensively.</w:t>
      </w:r>
    </w:p>
    <w:p>
      <w:pPr>
        <w:pStyle w:val="BodyText"/>
        <w:rPr>
          <w:sz w:val="26"/>
        </w:rPr>
      </w:pPr>
    </w:p>
    <w:p>
      <w:pPr>
        <w:pStyle w:val="BodyText"/>
        <w:spacing w:before="1"/>
        <w:rPr>
          <w:sz w:val="22"/>
        </w:rPr>
      </w:pPr>
    </w:p>
    <w:p>
      <w:pPr>
        <w:pStyle w:val="ListParagraph"/>
        <w:numPr>
          <w:ilvl w:val="2"/>
          <w:numId w:val="22"/>
        </w:numPr>
        <w:tabs>
          <w:tab w:pos="1084" w:val="left" w:leader="none"/>
          <w:tab w:pos="1085" w:val="left" w:leader="none"/>
        </w:tabs>
        <w:spacing w:line="240" w:lineRule="auto" w:before="0" w:after="0"/>
        <w:ind w:left="1084" w:right="0" w:hanging="907"/>
        <w:jc w:val="left"/>
        <w:rPr>
          <w:sz w:val="24"/>
        </w:rPr>
      </w:pPr>
      <w:r>
        <w:rPr>
          <w:sz w:val="24"/>
          <w:u w:val="single"/>
        </w:rPr>
        <w:t>Computation of Failure</w:t>
      </w:r>
      <w:r>
        <w:rPr>
          <w:spacing w:val="-4"/>
          <w:sz w:val="24"/>
          <w:u w:val="single"/>
        </w:rPr>
        <w:t> </w:t>
      </w:r>
      <w:r>
        <w:rPr>
          <w:sz w:val="24"/>
          <w:u w:val="single"/>
        </w:rPr>
        <w:t>Probability</w:t>
      </w:r>
    </w:p>
    <w:p>
      <w:pPr>
        <w:pStyle w:val="BodyText"/>
        <w:spacing w:before="3"/>
        <w:rPr>
          <w:sz w:val="20"/>
        </w:rPr>
      </w:pPr>
    </w:p>
    <w:p>
      <w:pPr>
        <w:pStyle w:val="BodyText"/>
        <w:spacing w:line="312" w:lineRule="auto" w:before="91"/>
        <w:ind w:left="177"/>
      </w:pPr>
      <w:r>
        <w:rPr/>
        <w:pict>
          <v:shape style="position:absolute;margin-left:164.580002pt;margin-top:33.085827pt;width:9.1pt;height:40.550pt;mso-position-horizontal-relative:page;mso-position-vertical-relative:paragraph;z-index:-57712" type="#_x0000_t202" filled="false" stroked="false">
            <v:textbox inset="0,0,0,0">
              <w:txbxContent>
                <w:p>
                  <w:pPr>
                    <w:spacing w:before="46"/>
                    <w:ind w:left="0" w:right="0" w:firstLine="0"/>
                    <w:jc w:val="left"/>
                    <w:rPr>
                      <w:rFonts w:ascii="Arial" w:hAnsi="Arial"/>
                      <w:sz w:val="66"/>
                    </w:rPr>
                  </w:pPr>
                  <w:r>
                    <w:rPr>
                      <w:rFonts w:ascii="Arial" w:hAnsi="Arial"/>
                      <w:w w:val="100"/>
                      <w:sz w:val="66"/>
                    </w:rPr>
                    <w:t>∫</w:t>
                  </w:r>
                </w:p>
              </w:txbxContent>
            </v:textbox>
            <w10:wrap type="none"/>
          </v:shape>
        </w:pict>
      </w:r>
      <w:r>
        <w:rPr/>
        <w:t>As mentioned above, the failure probability of a structural component with respect to a single failure mode is given by</w:t>
      </w:r>
    </w:p>
    <w:p>
      <w:pPr>
        <w:spacing w:after="0" w:line="312" w:lineRule="auto"/>
        <w:sectPr>
          <w:pgSz w:w="11910" w:h="16840"/>
          <w:pgMar w:header="0" w:footer="788" w:top="1600" w:bottom="980" w:left="1240" w:right="1300"/>
        </w:sectPr>
      </w:pPr>
    </w:p>
    <w:p>
      <w:pPr>
        <w:spacing w:line="332" w:lineRule="exact" w:before="90"/>
        <w:ind w:left="1595" w:right="0" w:firstLine="0"/>
        <w:jc w:val="left"/>
        <w:rPr>
          <w:sz w:val="24"/>
        </w:rPr>
      </w:pPr>
      <w:r>
        <w:rPr>
          <w:i/>
          <w:sz w:val="24"/>
        </w:rPr>
        <w:t>P</w:t>
      </w:r>
      <w:r>
        <w:rPr>
          <w:i/>
          <w:position w:val="-6"/>
          <w:sz w:val="18"/>
        </w:rPr>
        <w:t>f </w:t>
      </w:r>
      <w:r>
        <w:rPr>
          <w:sz w:val="24"/>
        </w:rPr>
        <w:t>=</w:t>
      </w:r>
    </w:p>
    <w:p>
      <w:pPr>
        <w:spacing w:line="246" w:lineRule="exact" w:before="0"/>
        <w:ind w:left="0" w:right="0" w:firstLine="0"/>
        <w:jc w:val="right"/>
        <w:rPr>
          <w:sz w:val="18"/>
        </w:rPr>
      </w:pPr>
      <w:r>
        <w:rPr>
          <w:i/>
          <w:sz w:val="18"/>
        </w:rPr>
        <w:t>g</w:t>
      </w:r>
      <w:r>
        <w:rPr>
          <w:position w:val="4"/>
          <w:sz w:val="18"/>
        </w:rPr>
        <w:t>(</w:t>
      </w:r>
      <w:r>
        <w:rPr>
          <w:b/>
          <w:position w:val="3"/>
          <w:sz w:val="18"/>
        </w:rPr>
        <w:t>x </w:t>
      </w:r>
      <w:r>
        <w:rPr>
          <w:position w:val="1"/>
          <w:sz w:val="18"/>
        </w:rPr>
        <w:t>) </w:t>
      </w:r>
      <w:r>
        <w:rPr>
          <w:rFonts w:ascii="Arial" w:hAnsi="Arial"/>
          <w:position w:val="1"/>
          <w:sz w:val="20"/>
        </w:rPr>
        <w:t>≤ </w:t>
      </w:r>
      <w:r>
        <w:rPr>
          <w:position w:val="1"/>
          <w:sz w:val="18"/>
        </w:rPr>
        <w:t>0</w:t>
      </w:r>
    </w:p>
    <w:p>
      <w:pPr>
        <w:spacing w:before="94"/>
        <w:ind w:left="-3" w:right="0" w:firstLine="0"/>
        <w:jc w:val="left"/>
        <w:rPr>
          <w:b/>
          <w:sz w:val="24"/>
        </w:rPr>
      </w:pPr>
      <w:r>
        <w:rPr/>
        <w:br w:type="column"/>
      </w:r>
      <w:r>
        <w:rPr>
          <w:i/>
          <w:sz w:val="24"/>
        </w:rPr>
        <w:t>f</w:t>
      </w:r>
      <w:r>
        <w:rPr>
          <w:b/>
          <w:sz w:val="24"/>
          <w:vertAlign w:val="subscript"/>
        </w:rPr>
        <w:t>X</w:t>
      </w:r>
      <w:r>
        <w:rPr>
          <w:b/>
          <w:sz w:val="24"/>
          <w:vertAlign w:val="baseline"/>
        </w:rPr>
        <w:t> </w:t>
      </w:r>
      <w:r>
        <w:rPr>
          <w:sz w:val="24"/>
          <w:vertAlign w:val="baseline"/>
        </w:rPr>
        <w:t>(</w:t>
      </w:r>
      <w:r>
        <w:rPr>
          <w:b/>
          <w:sz w:val="24"/>
          <w:vertAlign w:val="baseline"/>
        </w:rPr>
        <w:t>x</w:t>
      </w:r>
      <w:r>
        <w:rPr>
          <w:sz w:val="24"/>
          <w:vertAlign w:val="baseline"/>
        </w:rPr>
        <w:t>) d</w:t>
      </w:r>
      <w:r>
        <w:rPr>
          <w:b/>
          <w:sz w:val="24"/>
          <w:vertAlign w:val="baseline"/>
        </w:rPr>
        <w:t>x</w:t>
      </w:r>
    </w:p>
    <w:p>
      <w:pPr>
        <w:pStyle w:val="BodyText"/>
        <w:spacing w:before="1"/>
        <w:rPr>
          <w:b/>
        </w:rPr>
      </w:pPr>
      <w:r>
        <w:rPr/>
        <w:br w:type="column"/>
      </w:r>
      <w:r>
        <w:rPr>
          <w:b/>
        </w:rPr>
      </w:r>
    </w:p>
    <w:p>
      <w:pPr>
        <w:pStyle w:val="BodyText"/>
        <w:ind w:left="1595"/>
      </w:pPr>
      <w:r>
        <w:rPr/>
        <w:t>(C.3b)</w:t>
      </w:r>
    </w:p>
    <w:p>
      <w:pPr>
        <w:spacing w:after="0"/>
        <w:sectPr>
          <w:type w:val="continuous"/>
          <w:pgSz w:w="11910" w:h="16840"/>
          <w:pgMar w:top="580" w:bottom="280" w:left="1240" w:right="1300"/>
          <w:cols w:num="3" w:equalWidth="0">
            <w:col w:w="2824" w:space="40"/>
            <w:col w:w="912" w:space="2607"/>
            <w:col w:w="2987"/>
          </w:cols>
        </w:sectPr>
      </w:pPr>
    </w:p>
    <w:p>
      <w:pPr>
        <w:pStyle w:val="BodyText"/>
        <w:spacing w:line="312" w:lineRule="auto" w:before="169"/>
        <w:ind w:left="177" w:right="112"/>
        <w:jc w:val="both"/>
      </w:pPr>
      <w:r>
        <w:rPr/>
        <w:t>where </w:t>
      </w:r>
      <w:r>
        <w:rPr>
          <w:b/>
        </w:rPr>
        <w:t>X </w:t>
      </w:r>
      <w:r>
        <w:rPr/>
        <w:t>is the vector of basic random variables, </w:t>
      </w:r>
      <w:r>
        <w:rPr>
          <w:i/>
        </w:rPr>
        <w:t>g(</w:t>
      </w:r>
      <w:r>
        <w:rPr>
          <w:rFonts w:ascii="TimesNewRomanPS-BoldItalicMT"/>
          <w:b/>
          <w:i/>
        </w:rPr>
        <w:t>x</w:t>
      </w:r>
      <w:r>
        <w:rPr>
          <w:i/>
        </w:rPr>
        <w:t>) </w:t>
      </w:r>
      <w:r>
        <w:rPr/>
        <w:t>is the limit state (or failure) function for the failure mode considered and </w:t>
      </w:r>
      <w:r>
        <w:rPr>
          <w:i/>
        </w:rPr>
        <w:t>f</w:t>
      </w:r>
      <w:r>
        <w:rPr>
          <w:b/>
          <w:position w:val="-3"/>
          <w:sz w:val="22"/>
        </w:rPr>
        <w:t>X</w:t>
      </w:r>
      <w:r>
        <w:rPr/>
        <w:t>(</w:t>
      </w:r>
      <w:r>
        <w:rPr>
          <w:b/>
        </w:rPr>
        <w:t>x</w:t>
      </w:r>
      <w:r>
        <w:rPr/>
        <w:t>) is the joint probability density function of </w:t>
      </w:r>
      <w:r>
        <w:rPr>
          <w:b/>
        </w:rPr>
        <w:t>X</w:t>
      </w:r>
      <w:r>
        <w:rPr/>
        <w:t>.</w:t>
      </w:r>
    </w:p>
    <w:p>
      <w:pPr>
        <w:pStyle w:val="BodyText"/>
        <w:spacing w:before="5"/>
        <w:rPr>
          <w:sz w:val="28"/>
        </w:rPr>
      </w:pPr>
    </w:p>
    <w:p>
      <w:pPr>
        <w:pStyle w:val="BodyText"/>
        <w:spacing w:line="312" w:lineRule="auto"/>
        <w:ind w:left="177" w:right="111"/>
        <w:jc w:val="both"/>
      </w:pPr>
      <w:r>
        <w:rPr/>
        <w:t>An important class of limit states are those for which all the variables are treated as time independent, either by neglecting time variations in cases where this is considered acceptable or by transforming time-dependent processes into time-invariant variables (e.g. by using extreme value distributions). The methods commonly used for calculating </w:t>
      </w:r>
      <w:r>
        <w:rPr>
          <w:i/>
        </w:rPr>
        <w:t>P</w:t>
      </w:r>
      <w:r>
        <w:rPr>
          <w:i/>
          <w:position w:val="-3"/>
          <w:sz w:val="22"/>
        </w:rPr>
        <w:t>f </w:t>
      </w:r>
      <w:r>
        <w:rPr/>
        <w:t>in such cases are</w:t>
      </w:r>
    </w:p>
    <w:p>
      <w:pPr>
        <w:spacing w:after="0" w:line="312" w:lineRule="auto"/>
        <w:jc w:val="both"/>
        <w:sectPr>
          <w:type w:val="continuous"/>
          <w:pgSz w:w="11910" w:h="16840"/>
          <w:pgMar w:top="580" w:bottom="280" w:left="1240" w:right="1300"/>
        </w:sectPr>
      </w:pPr>
    </w:p>
    <w:p>
      <w:pPr>
        <w:pStyle w:val="BodyText"/>
        <w:spacing w:before="62"/>
        <w:ind w:left="177"/>
      </w:pPr>
      <w:r>
        <w:rPr/>
        <w:t>outlined below. Guidelines on how to deal with time-dependent problems are given in section</w:t>
      </w:r>
    </w:p>
    <w:p>
      <w:pPr>
        <w:pStyle w:val="BodyText"/>
        <w:spacing w:line="297" w:lineRule="auto" w:before="84"/>
        <w:ind w:left="177" w:right="111" w:hanging="1"/>
        <w:jc w:val="both"/>
      </w:pPr>
      <w:r>
        <w:rPr/>
        <w:t>5. Note that after calculating </w:t>
      </w:r>
      <w:r>
        <w:rPr>
          <w:i/>
        </w:rPr>
        <w:t>P</w:t>
      </w:r>
      <w:r>
        <w:rPr>
          <w:i/>
          <w:position w:val="-3"/>
          <w:sz w:val="22"/>
        </w:rPr>
        <w:t>f </w:t>
      </w:r>
      <w:r>
        <w:rPr/>
        <w:t>via one of the methods outlined below, or any other valid method, a reliability index may be obtained from equation (C.5), for comparative or other purposes.</w:t>
      </w:r>
    </w:p>
    <w:p>
      <w:pPr>
        <w:pStyle w:val="BodyText"/>
        <w:spacing w:before="17"/>
        <w:ind w:left="177"/>
      </w:pPr>
      <w:r>
        <w:rPr>
          <w:u w:val="single"/>
        </w:rPr>
        <w:t>Asymptotic approximate methods</w:t>
      </w:r>
    </w:p>
    <w:p>
      <w:pPr>
        <w:pStyle w:val="BodyText"/>
        <w:spacing w:line="312" w:lineRule="auto" w:before="84"/>
        <w:ind w:left="177" w:right="112"/>
        <w:jc w:val="both"/>
      </w:pPr>
      <w:r>
        <w:rPr/>
        <w:t>Although these methods first emerged with basic random variables described through 'second- moment' information (i.e. with their mean value and standard deviation, but without assigning any probability distributions), it is nowadays possible in many cases to have a full description of the random vector </w:t>
      </w:r>
      <w:r>
        <w:rPr>
          <w:b/>
        </w:rPr>
        <w:t>X </w:t>
      </w:r>
      <w:r>
        <w:rPr/>
        <w:t>(as a result of data collection and probabilistic modelling studies). In such cases, the probability of failure could be calculated via first or second order reliability methods (FORM and SORM respectively). Their implementation relies on:</w:t>
      </w:r>
    </w:p>
    <w:p>
      <w:pPr>
        <w:pStyle w:val="ListParagraph"/>
        <w:numPr>
          <w:ilvl w:val="0"/>
          <w:numId w:val="23"/>
        </w:numPr>
        <w:tabs>
          <w:tab w:pos="516" w:val="left" w:leader="none"/>
        </w:tabs>
        <w:spacing w:line="240" w:lineRule="auto" w:before="9" w:after="0"/>
        <w:ind w:left="515" w:right="0" w:hanging="338"/>
        <w:jc w:val="both"/>
        <w:rPr>
          <w:i/>
          <w:sz w:val="24"/>
        </w:rPr>
      </w:pPr>
      <w:r>
        <w:rPr>
          <w:i/>
          <w:sz w:val="24"/>
        </w:rPr>
        <w:t>Transformation</w:t>
      </w:r>
      <w:r>
        <w:rPr>
          <w:i/>
          <w:spacing w:val="-2"/>
          <w:sz w:val="24"/>
        </w:rPr>
        <w:t> </w:t>
      </w:r>
      <w:r>
        <w:rPr>
          <w:i/>
          <w:sz w:val="24"/>
        </w:rPr>
        <w:t>techniques:</w:t>
      </w:r>
    </w:p>
    <w:p>
      <w:pPr>
        <w:tabs>
          <w:tab w:pos="1595" w:val="left" w:leader="none"/>
          <w:tab w:pos="4432" w:val="left" w:leader="none"/>
          <w:tab w:pos="5141" w:val="left" w:leader="none"/>
          <w:tab w:pos="7978" w:val="left" w:leader="none"/>
        </w:tabs>
        <w:spacing w:before="82"/>
        <w:ind w:left="886" w:right="0" w:firstLine="0"/>
        <w:jc w:val="left"/>
        <w:rPr>
          <w:sz w:val="24"/>
        </w:rPr>
      </w:pPr>
      <w:r>
        <w:rPr>
          <w:b/>
          <w:sz w:val="24"/>
        </w:rPr>
        <w:t>T</w:t>
      </w:r>
      <w:r>
        <w:rPr>
          <w:b/>
          <w:spacing w:val="-1"/>
          <w:sz w:val="24"/>
        </w:rPr>
        <w:t> </w:t>
      </w:r>
      <w:r>
        <w:rPr>
          <w:b/>
          <w:sz w:val="24"/>
        </w:rPr>
        <w:t>:</w:t>
        <w:tab/>
        <w:t>X </w:t>
      </w:r>
      <w:r>
        <w:rPr>
          <w:sz w:val="24"/>
        </w:rPr>
        <w:t>= </w:t>
      </w:r>
      <w:r>
        <w:rPr>
          <w:i/>
          <w:sz w:val="24"/>
        </w:rPr>
        <w:t>(X</w:t>
      </w:r>
      <w:r>
        <w:rPr>
          <w:i/>
          <w:position w:val="-3"/>
          <w:sz w:val="22"/>
        </w:rPr>
        <w:t>1</w:t>
      </w:r>
      <w:r>
        <w:rPr>
          <w:i/>
          <w:sz w:val="24"/>
        </w:rPr>
        <w:t>, X</w:t>
      </w:r>
      <w:r>
        <w:rPr>
          <w:i/>
          <w:position w:val="-3"/>
          <w:sz w:val="22"/>
        </w:rPr>
        <w:t>2</w:t>
      </w:r>
      <w:r>
        <w:rPr>
          <w:i/>
          <w:sz w:val="24"/>
        </w:rPr>
        <w:t>,</w:t>
      </w:r>
      <w:r>
        <w:rPr>
          <w:i/>
          <w:spacing w:val="-7"/>
          <w:sz w:val="24"/>
        </w:rPr>
        <w:t> </w:t>
      </w:r>
      <w:r>
        <w:rPr>
          <w:i/>
          <w:sz w:val="24"/>
        </w:rPr>
        <w:t>...</w:t>
      </w:r>
      <w:r>
        <w:rPr>
          <w:i/>
          <w:spacing w:val="-2"/>
          <w:sz w:val="24"/>
        </w:rPr>
        <w:t> </w:t>
      </w:r>
      <w:r>
        <w:rPr>
          <w:i/>
          <w:sz w:val="24"/>
        </w:rPr>
        <w:t>X</w:t>
      </w:r>
      <w:r>
        <w:rPr>
          <w:i/>
          <w:position w:val="-3"/>
          <w:sz w:val="22"/>
        </w:rPr>
        <w:t>n</w:t>
      </w:r>
      <w:r>
        <w:rPr>
          <w:i/>
          <w:sz w:val="24"/>
        </w:rPr>
        <w:t>)</w:t>
        <w:tab/>
      </w:r>
      <w:r>
        <w:rPr>
          <w:rFonts w:ascii="Arial" w:hAnsi="Arial"/>
          <w:sz w:val="24"/>
        </w:rPr>
        <w:t>→</w:t>
        <w:tab/>
      </w:r>
      <w:r>
        <w:rPr>
          <w:b/>
          <w:sz w:val="24"/>
        </w:rPr>
        <w:t>U </w:t>
      </w:r>
      <w:r>
        <w:rPr>
          <w:sz w:val="24"/>
        </w:rPr>
        <w:t>= </w:t>
      </w:r>
      <w:r>
        <w:rPr>
          <w:i/>
          <w:sz w:val="24"/>
        </w:rPr>
        <w:t>(U</w:t>
      </w:r>
      <w:r>
        <w:rPr>
          <w:i/>
          <w:position w:val="-3"/>
          <w:sz w:val="22"/>
        </w:rPr>
        <w:t>1</w:t>
      </w:r>
      <w:r>
        <w:rPr>
          <w:i/>
          <w:sz w:val="24"/>
        </w:rPr>
        <w:t>, U</w:t>
      </w:r>
      <w:r>
        <w:rPr>
          <w:i/>
          <w:position w:val="-3"/>
          <w:sz w:val="22"/>
        </w:rPr>
        <w:t>2</w:t>
      </w:r>
      <w:r>
        <w:rPr>
          <w:i/>
          <w:sz w:val="24"/>
        </w:rPr>
        <w:t>,</w:t>
      </w:r>
      <w:r>
        <w:rPr>
          <w:i/>
          <w:spacing w:val="-7"/>
          <w:sz w:val="24"/>
        </w:rPr>
        <w:t> </w:t>
      </w:r>
      <w:r>
        <w:rPr>
          <w:i/>
          <w:sz w:val="24"/>
        </w:rPr>
        <w:t>...</w:t>
      </w:r>
      <w:r>
        <w:rPr>
          <w:i/>
          <w:spacing w:val="-2"/>
          <w:sz w:val="24"/>
        </w:rPr>
        <w:t> </w:t>
      </w:r>
      <w:r>
        <w:rPr>
          <w:i/>
          <w:sz w:val="24"/>
        </w:rPr>
        <w:t>U</w:t>
      </w:r>
      <w:r>
        <w:rPr>
          <w:i/>
          <w:position w:val="-3"/>
          <w:sz w:val="22"/>
        </w:rPr>
        <w:t>n</w:t>
      </w:r>
      <w:r>
        <w:rPr>
          <w:i/>
          <w:sz w:val="24"/>
        </w:rPr>
        <w:t>)</w:t>
        <w:tab/>
      </w:r>
      <w:r>
        <w:rPr>
          <w:sz w:val="24"/>
        </w:rPr>
        <w:t>(C.9)</w:t>
      </w:r>
    </w:p>
    <w:p>
      <w:pPr>
        <w:pStyle w:val="BodyText"/>
        <w:spacing w:line="302" w:lineRule="auto" w:before="48"/>
        <w:ind w:left="177" w:right="109" w:hanging="1"/>
        <w:jc w:val="both"/>
      </w:pPr>
      <w:r>
        <w:rPr/>
        <w:t>where </w:t>
      </w:r>
      <w:r>
        <w:rPr>
          <w:i/>
        </w:rPr>
        <w:t>U</w:t>
      </w:r>
      <w:r>
        <w:rPr>
          <w:i/>
          <w:position w:val="-3"/>
          <w:sz w:val="22"/>
        </w:rPr>
        <w:t>1</w:t>
      </w:r>
      <w:r>
        <w:rPr>
          <w:i/>
        </w:rPr>
        <w:t>, U</w:t>
      </w:r>
      <w:r>
        <w:rPr>
          <w:i/>
          <w:position w:val="-3"/>
          <w:sz w:val="22"/>
        </w:rPr>
        <w:t>2</w:t>
      </w:r>
      <w:r>
        <w:rPr>
          <w:i/>
        </w:rPr>
        <w:t>, ... U</w:t>
      </w:r>
      <w:r>
        <w:rPr>
          <w:i/>
          <w:position w:val="-3"/>
          <w:sz w:val="22"/>
        </w:rPr>
        <w:t>n </w:t>
      </w:r>
      <w:r>
        <w:rPr/>
        <w:t>are independent standard normal variables (i.e. with zero mean value and unit standard deviation). Hence, the basic variable space (including the limit state function) is transformed into a standard normal space, see Fig. C.5. The special properties of the standard normal space lead to several important results, as discussed below.</w:t>
      </w:r>
    </w:p>
    <w:p>
      <w:pPr>
        <w:pStyle w:val="ListParagraph"/>
        <w:numPr>
          <w:ilvl w:val="0"/>
          <w:numId w:val="23"/>
        </w:numPr>
        <w:tabs>
          <w:tab w:pos="516" w:val="left" w:leader="none"/>
        </w:tabs>
        <w:spacing w:line="240" w:lineRule="auto" w:before="15" w:after="0"/>
        <w:ind w:left="515" w:right="0" w:hanging="338"/>
        <w:jc w:val="both"/>
        <w:rPr>
          <w:i/>
          <w:sz w:val="24"/>
        </w:rPr>
      </w:pPr>
      <w:r>
        <w:rPr>
          <w:i/>
          <w:sz w:val="24"/>
        </w:rPr>
        <w:t>Search</w:t>
      </w:r>
      <w:r>
        <w:rPr>
          <w:i/>
          <w:spacing w:val="-2"/>
          <w:sz w:val="24"/>
        </w:rPr>
        <w:t> </w:t>
      </w:r>
      <w:r>
        <w:rPr>
          <w:i/>
          <w:sz w:val="24"/>
        </w:rPr>
        <w:t>techniques:</w:t>
      </w:r>
    </w:p>
    <w:p>
      <w:pPr>
        <w:pStyle w:val="BodyText"/>
        <w:spacing w:line="312" w:lineRule="auto" w:before="83"/>
        <w:ind w:left="177" w:right="111"/>
        <w:jc w:val="both"/>
      </w:pPr>
      <w:r>
        <w:rPr/>
        <w:t>In standard normal space, the objective is to determine a suitable checking point: this is  shown to be the point on the limit-state surface which is closest to the origin, the so-called 'design point'. In this rotationally symmetric space, it is the most likely failure point, in other words its co-ordinates define the combination of variables that are most likely to  cause failure. This is because the joint standard normal density function, whose bell-shaped peak lies directly above the origin, decreases exponentially as the distance from the origin increases. To determine this point, a search procedure is required in all but the most simple of cases (the Rackwitz-Fiessler algorithm is commonly</w:t>
      </w:r>
      <w:r>
        <w:rPr>
          <w:spacing w:val="-8"/>
        </w:rPr>
        <w:t> </w:t>
      </w:r>
      <w:r>
        <w:rPr/>
        <w:t>used).</w:t>
      </w:r>
    </w:p>
    <w:p>
      <w:pPr>
        <w:pStyle w:val="BodyText"/>
        <w:spacing w:before="9"/>
        <w:ind w:left="177"/>
        <w:jc w:val="both"/>
      </w:pPr>
      <w:r>
        <w:rPr/>
        <w:t>Denoting the co-ordinates of this point by</w:t>
      </w:r>
    </w:p>
    <w:p>
      <w:pPr>
        <w:spacing w:line="147" w:lineRule="exact" w:before="54"/>
        <w:ind w:left="886" w:right="0" w:firstLine="0"/>
        <w:jc w:val="left"/>
        <w:rPr>
          <w:sz w:val="24"/>
        </w:rPr>
      </w:pPr>
      <w:r>
        <w:rPr>
          <w:b/>
          <w:spacing w:val="5"/>
          <w:sz w:val="24"/>
        </w:rPr>
        <w:t>u</w:t>
      </w:r>
      <w:r>
        <w:rPr>
          <w:w w:val="100"/>
          <w:position w:val="6"/>
          <w:sz w:val="18"/>
        </w:rPr>
        <w:t>*</w:t>
      </w:r>
      <w:r>
        <w:rPr>
          <w:spacing w:val="6"/>
          <w:position w:val="6"/>
          <w:sz w:val="18"/>
        </w:rPr>
        <w:t> </w:t>
      </w:r>
      <w:r>
        <w:rPr>
          <w:w w:val="100"/>
          <w:sz w:val="24"/>
        </w:rPr>
        <w:t>=</w:t>
      </w:r>
      <w:r>
        <w:rPr>
          <w:sz w:val="24"/>
        </w:rPr>
        <w:t> </w:t>
      </w:r>
      <w:r>
        <w:rPr>
          <w:spacing w:val="2"/>
          <w:w w:val="100"/>
          <w:sz w:val="24"/>
        </w:rPr>
        <w:t>(</w:t>
      </w:r>
      <w:r>
        <w:rPr>
          <w:i/>
          <w:spacing w:val="20"/>
          <w:w w:val="100"/>
          <w:sz w:val="24"/>
        </w:rPr>
        <w:t>u</w:t>
      </w:r>
      <w:r>
        <w:rPr>
          <w:spacing w:val="6"/>
          <w:w w:val="100"/>
          <w:position w:val="8"/>
          <w:sz w:val="18"/>
        </w:rPr>
        <w:t>*</w:t>
      </w:r>
      <w:r>
        <w:rPr>
          <w:w w:val="100"/>
          <w:sz w:val="24"/>
        </w:rPr>
        <w:t>,</w:t>
      </w:r>
      <w:r>
        <w:rPr>
          <w:spacing w:val="20"/>
          <w:sz w:val="24"/>
        </w:rPr>
        <w:t> </w:t>
      </w:r>
      <w:r>
        <w:rPr>
          <w:i/>
          <w:spacing w:val="20"/>
          <w:w w:val="100"/>
          <w:sz w:val="24"/>
        </w:rPr>
        <w:t>u</w:t>
      </w:r>
      <w:r>
        <w:rPr>
          <w:spacing w:val="6"/>
          <w:w w:val="100"/>
          <w:position w:val="8"/>
          <w:sz w:val="18"/>
        </w:rPr>
        <w:t>*</w:t>
      </w:r>
      <w:r>
        <w:rPr>
          <w:w w:val="100"/>
          <w:sz w:val="24"/>
        </w:rPr>
        <w:t>,</w:t>
      </w:r>
      <w:r>
        <w:rPr>
          <w:spacing w:val="18"/>
          <w:sz w:val="24"/>
        </w:rPr>
        <w:t> </w:t>
      </w:r>
      <w:r>
        <w:rPr>
          <w:w w:val="100"/>
          <w:sz w:val="24"/>
        </w:rPr>
        <w:t>...</w:t>
      </w:r>
      <w:r>
        <w:rPr>
          <w:sz w:val="24"/>
        </w:rPr>
        <w:t> </w:t>
      </w:r>
      <w:r>
        <w:rPr>
          <w:spacing w:val="-1"/>
          <w:sz w:val="24"/>
        </w:rPr>
        <w:t> </w:t>
      </w:r>
      <w:r>
        <w:rPr>
          <w:i/>
          <w:spacing w:val="-1"/>
          <w:w w:val="100"/>
          <w:sz w:val="24"/>
        </w:rPr>
        <w:t>u</w:t>
      </w:r>
      <w:r>
        <w:rPr>
          <w:i/>
          <w:spacing w:val="-70"/>
          <w:w w:val="89"/>
          <w:sz w:val="24"/>
          <w:vertAlign w:val="subscript"/>
        </w:rPr>
        <w:t>n</w:t>
      </w:r>
      <w:r>
        <w:rPr>
          <w:spacing w:val="6"/>
          <w:w w:val="100"/>
          <w:position w:val="6"/>
          <w:sz w:val="18"/>
          <w:vertAlign w:val="baseline"/>
        </w:rPr>
        <w:t>*</w:t>
      </w:r>
      <w:r>
        <w:rPr>
          <w:w w:val="100"/>
          <w:sz w:val="24"/>
          <w:vertAlign w:val="baseline"/>
        </w:rPr>
        <w:t>)</w:t>
      </w:r>
    </w:p>
    <w:p>
      <w:pPr>
        <w:tabs>
          <w:tab w:pos="1966" w:val="left" w:leader="none"/>
        </w:tabs>
        <w:spacing w:line="200" w:lineRule="exact" w:before="0"/>
        <w:ind w:left="1586" w:right="0" w:firstLine="0"/>
        <w:jc w:val="left"/>
        <w:rPr>
          <w:sz w:val="18"/>
        </w:rPr>
      </w:pPr>
      <w:r>
        <w:rPr>
          <w:sz w:val="18"/>
        </w:rPr>
        <w:t>1</w:t>
        <w:tab/>
        <w:t>2</w:t>
      </w:r>
    </w:p>
    <w:p>
      <w:pPr>
        <w:pStyle w:val="BodyText"/>
        <w:spacing w:before="43"/>
        <w:ind w:left="177"/>
      </w:pPr>
      <w:r>
        <w:rPr/>
        <w:t>its distance from the origin is clearly equal to</w:t>
      </w:r>
    </w:p>
    <w:p>
      <w:pPr>
        <w:spacing w:line="124" w:lineRule="exact" w:before="27"/>
        <w:ind w:left="1118" w:right="0" w:firstLine="0"/>
        <w:jc w:val="left"/>
        <w:rPr>
          <w:i/>
          <w:sz w:val="14"/>
        </w:rPr>
      </w:pPr>
      <w:r>
        <w:rPr>
          <w:i/>
          <w:sz w:val="14"/>
        </w:rPr>
        <w:t>n</w:t>
      </w:r>
    </w:p>
    <w:p>
      <w:pPr>
        <w:spacing w:line="55" w:lineRule="exact" w:before="0"/>
        <w:ind w:left="1437" w:right="0" w:firstLine="0"/>
        <w:jc w:val="left"/>
        <w:rPr>
          <w:i/>
          <w:sz w:val="14"/>
        </w:rPr>
      </w:pPr>
      <w:r>
        <w:rPr>
          <w:i/>
          <w:sz w:val="14"/>
        </w:rPr>
        <w:t>* </w:t>
      </w:r>
      <w:r>
        <w:rPr>
          <w:i/>
          <w:position w:val="5"/>
          <w:sz w:val="14"/>
        </w:rPr>
        <w:t>2 </w:t>
      </w:r>
      <w:r>
        <w:rPr>
          <w:i/>
          <w:sz w:val="14"/>
        </w:rPr>
        <w:t>1 / 2</w:t>
      </w:r>
    </w:p>
    <w:p>
      <w:pPr>
        <w:spacing w:after="0" w:line="55" w:lineRule="exact"/>
        <w:jc w:val="left"/>
        <w:rPr>
          <w:sz w:val="14"/>
        </w:rPr>
        <w:sectPr>
          <w:pgSz w:w="11910" w:h="16840"/>
          <w:pgMar w:header="0" w:footer="788" w:top="1460" w:bottom="980" w:left="1240" w:right="1300"/>
        </w:sectPr>
      </w:pPr>
    </w:p>
    <w:p>
      <w:pPr>
        <w:spacing w:line="314" w:lineRule="exact" w:before="0"/>
        <w:ind w:left="908" w:right="0" w:firstLine="0"/>
        <w:jc w:val="left"/>
        <w:rPr>
          <w:i/>
          <w:sz w:val="24"/>
        </w:rPr>
      </w:pPr>
      <w:r>
        <w:rPr>
          <w:i/>
          <w:sz w:val="24"/>
        </w:rPr>
        <w:t>(</w:t>
      </w:r>
      <w:r>
        <w:rPr>
          <w:i/>
          <w:spacing w:val="-35"/>
          <w:sz w:val="24"/>
        </w:rPr>
        <w:t> </w:t>
      </w:r>
      <w:r>
        <w:rPr>
          <w:rFonts w:ascii="Arial" w:hAnsi="Arial"/>
          <w:spacing w:val="25"/>
          <w:w w:val="100"/>
          <w:position w:val="-5"/>
          <w:sz w:val="36"/>
        </w:rPr>
        <w:t>∑</w:t>
      </w:r>
      <w:r>
        <w:rPr>
          <w:i/>
          <w:spacing w:val="8"/>
          <w:sz w:val="24"/>
        </w:rPr>
        <w:t>u</w:t>
      </w:r>
      <w:r>
        <w:rPr>
          <w:i/>
          <w:position w:val="-5"/>
          <w:sz w:val="14"/>
        </w:rPr>
        <w:t>i  </w:t>
      </w:r>
      <w:r>
        <w:rPr>
          <w:i/>
          <w:spacing w:val="12"/>
          <w:position w:val="-5"/>
          <w:sz w:val="14"/>
        </w:rPr>
        <w:t> </w:t>
      </w:r>
      <w:r>
        <w:rPr>
          <w:i/>
          <w:sz w:val="24"/>
        </w:rPr>
        <w:t>)</w:t>
      </w:r>
    </w:p>
    <w:p>
      <w:pPr>
        <w:spacing w:line="142" w:lineRule="exact" w:before="0"/>
        <w:ind w:left="1056" w:right="0" w:firstLine="0"/>
        <w:jc w:val="left"/>
        <w:rPr>
          <w:i/>
          <w:sz w:val="14"/>
        </w:rPr>
      </w:pPr>
      <w:r>
        <w:rPr>
          <w:i/>
          <w:sz w:val="14"/>
        </w:rPr>
        <w:t>i</w:t>
      </w:r>
      <w:r>
        <w:rPr>
          <w:rFonts w:ascii="Arial"/>
          <w:sz w:val="14"/>
        </w:rPr>
        <w:t>=</w:t>
      </w:r>
      <w:r>
        <w:rPr>
          <w:i/>
          <w:sz w:val="14"/>
        </w:rPr>
        <w:t>1</w:t>
      </w:r>
    </w:p>
    <w:p>
      <w:pPr>
        <w:pStyle w:val="BodyText"/>
        <w:spacing w:line="316" w:lineRule="exact" w:before="91"/>
        <w:ind w:left="177"/>
      </w:pPr>
      <w:r>
        <w:rPr/>
        <w:t>This scalar quantity is known as the Hasofer-Lind reliability index, </w:t>
      </w:r>
      <w:r>
        <w:rPr>
          <w:rFonts w:ascii="Arial" w:hAnsi="Arial"/>
          <w:i/>
          <w:sz w:val="25"/>
        </w:rPr>
        <w:t>β</w:t>
      </w:r>
      <w:r>
        <w:rPr>
          <w:position w:val="-3"/>
          <w:sz w:val="20"/>
        </w:rPr>
        <w:t>HL</w:t>
      </w:r>
      <w:r>
        <w:rPr/>
        <w:t>, i.e.</w:t>
      </w:r>
    </w:p>
    <w:p>
      <w:pPr>
        <w:spacing w:line="66" w:lineRule="exact" w:before="0"/>
        <w:ind w:left="1757" w:right="0" w:firstLine="0"/>
        <w:jc w:val="left"/>
        <w:rPr>
          <w:i/>
          <w:sz w:val="14"/>
        </w:rPr>
      </w:pPr>
      <w:r>
        <w:rPr/>
        <w:pict>
          <v:shape style="position:absolute;margin-left:165.839981pt;margin-top:15.364182pt;width:1.95pt;height:7.8pt;mso-position-horizontal-relative:page;mso-position-vertical-relative:paragraph;z-index:-57688" type="#_x0000_t202" filled="false" stroked="false">
            <v:textbox inset="0,0,0,0">
              <w:txbxContent>
                <w:p>
                  <w:pPr>
                    <w:spacing w:line="155" w:lineRule="exact" w:before="0"/>
                    <w:ind w:left="0" w:right="0" w:firstLine="0"/>
                    <w:jc w:val="left"/>
                    <w:rPr>
                      <w:i/>
                      <w:sz w:val="14"/>
                    </w:rPr>
                  </w:pPr>
                  <w:r>
                    <w:rPr>
                      <w:i/>
                      <w:w w:val="100"/>
                      <w:sz w:val="14"/>
                    </w:rPr>
                    <w:t>i</w:t>
                  </w:r>
                </w:p>
              </w:txbxContent>
            </v:textbox>
            <w10:wrap type="none"/>
          </v:shape>
        </w:pict>
      </w:r>
      <w:r>
        <w:rPr>
          <w:i/>
          <w:w w:val="100"/>
          <w:sz w:val="14"/>
        </w:rPr>
        <w:t>n</w:t>
      </w:r>
    </w:p>
    <w:p>
      <w:pPr>
        <w:pStyle w:val="BodyText"/>
        <w:rPr>
          <w:i/>
          <w:sz w:val="26"/>
        </w:rPr>
      </w:pPr>
      <w:r>
        <w:rPr/>
        <w:br w:type="column"/>
      </w:r>
      <w:r>
        <w:rPr>
          <w:i/>
          <w:sz w:val="26"/>
        </w:rPr>
      </w:r>
    </w:p>
    <w:p>
      <w:pPr>
        <w:pStyle w:val="BodyText"/>
        <w:rPr>
          <w:i/>
          <w:sz w:val="26"/>
        </w:rPr>
      </w:pPr>
    </w:p>
    <w:p>
      <w:pPr>
        <w:pStyle w:val="BodyText"/>
        <w:spacing w:line="117" w:lineRule="exact" w:before="214"/>
        <w:ind w:left="177"/>
      </w:pPr>
      <w:r>
        <w:rPr/>
        <w:t>(C.10)</w:t>
      </w:r>
    </w:p>
    <w:p>
      <w:pPr>
        <w:spacing w:after="0" w:line="117" w:lineRule="exact"/>
        <w:sectPr>
          <w:type w:val="continuous"/>
          <w:pgSz w:w="11910" w:h="16840"/>
          <w:pgMar w:top="580" w:bottom="280" w:left="1240" w:right="1300"/>
          <w:cols w:num="2" w:equalWidth="0">
            <w:col w:w="7541" w:space="260"/>
            <w:col w:w="1569"/>
          </w:cols>
        </w:sectPr>
      </w:pPr>
    </w:p>
    <w:p>
      <w:pPr>
        <w:spacing w:before="72"/>
        <w:ind w:left="0" w:right="0" w:firstLine="0"/>
        <w:jc w:val="right"/>
        <w:rPr>
          <w:i/>
          <w:sz w:val="14"/>
        </w:rPr>
      </w:pPr>
      <w:r>
        <w:rPr>
          <w:rFonts w:ascii="Arial" w:hAnsi="Arial"/>
          <w:i/>
          <w:position w:val="6"/>
          <w:sz w:val="25"/>
        </w:rPr>
        <w:t>β</w:t>
      </w:r>
      <w:r>
        <w:rPr>
          <w:rFonts w:ascii="Arial" w:hAnsi="Arial"/>
          <w:i/>
          <w:spacing w:val="-55"/>
          <w:position w:val="6"/>
          <w:sz w:val="25"/>
        </w:rPr>
        <w:t> </w:t>
      </w:r>
      <w:r>
        <w:rPr>
          <w:i/>
          <w:sz w:val="14"/>
        </w:rPr>
        <w:t>HL</w:t>
      </w:r>
    </w:p>
    <w:p>
      <w:pPr>
        <w:spacing w:line="220" w:lineRule="auto" w:before="35"/>
        <w:ind w:left="386" w:right="6534" w:hanging="329"/>
        <w:jc w:val="left"/>
        <w:rPr>
          <w:i/>
          <w:sz w:val="14"/>
        </w:rPr>
      </w:pPr>
      <w:r>
        <w:rPr/>
        <w:br w:type="column"/>
      </w:r>
      <w:r>
        <w:rPr>
          <w:rFonts w:ascii="Arial" w:hAnsi="Arial"/>
          <w:w w:val="94"/>
          <w:position w:val="-10"/>
          <w:sz w:val="24"/>
        </w:rPr>
        <w:t>=</w:t>
      </w:r>
      <w:r>
        <w:rPr>
          <w:rFonts w:ascii="Arial" w:hAnsi="Arial"/>
          <w:position w:val="-10"/>
          <w:sz w:val="24"/>
        </w:rPr>
        <w:t> </w:t>
      </w:r>
      <w:r>
        <w:rPr>
          <w:i/>
          <w:position w:val="-10"/>
          <w:sz w:val="24"/>
        </w:rPr>
        <w:t>( </w:t>
      </w:r>
      <w:r>
        <w:rPr>
          <w:rFonts w:ascii="Arial" w:hAnsi="Arial"/>
          <w:spacing w:val="22"/>
          <w:w w:val="100"/>
          <w:position w:val="-15"/>
          <w:sz w:val="36"/>
        </w:rPr>
        <w:t>∑</w:t>
      </w:r>
      <w:r>
        <w:rPr>
          <w:i/>
          <w:spacing w:val="10"/>
          <w:position w:val="-10"/>
          <w:sz w:val="24"/>
        </w:rPr>
        <w:t>u</w:t>
      </w:r>
      <w:r>
        <w:rPr>
          <w:i/>
          <w:w w:val="100"/>
          <w:sz w:val="14"/>
        </w:rPr>
        <w:t>*</w:t>
      </w:r>
      <w:r>
        <w:rPr>
          <w:i/>
          <w:sz w:val="14"/>
        </w:rPr>
        <w:t> </w:t>
      </w:r>
      <w:r>
        <w:rPr>
          <w:i/>
          <w:w w:val="100"/>
          <w:sz w:val="14"/>
        </w:rPr>
        <w:t>2</w:t>
      </w:r>
      <w:r>
        <w:rPr>
          <w:i/>
          <w:sz w:val="14"/>
        </w:rPr>
        <w:t> </w:t>
      </w:r>
      <w:r>
        <w:rPr>
          <w:i/>
          <w:spacing w:val="0"/>
          <w:position w:val="-10"/>
          <w:sz w:val="24"/>
        </w:rPr>
        <w:t>)</w:t>
      </w:r>
      <w:r>
        <w:rPr>
          <w:i/>
          <w:w w:val="100"/>
          <w:sz w:val="14"/>
        </w:rPr>
        <w:t>1</w:t>
      </w:r>
      <w:r>
        <w:rPr>
          <w:i/>
          <w:sz w:val="14"/>
        </w:rPr>
        <w:t> </w:t>
      </w:r>
      <w:r>
        <w:rPr>
          <w:i/>
          <w:w w:val="100"/>
          <w:sz w:val="14"/>
        </w:rPr>
        <w:t>/</w:t>
      </w:r>
      <w:r>
        <w:rPr>
          <w:i/>
          <w:sz w:val="14"/>
        </w:rPr>
        <w:t> </w:t>
      </w:r>
      <w:r>
        <w:rPr>
          <w:i/>
          <w:w w:val="100"/>
          <w:sz w:val="14"/>
        </w:rPr>
        <w:t>2 </w:t>
      </w:r>
      <w:r>
        <w:rPr>
          <w:i/>
          <w:spacing w:val="2"/>
          <w:sz w:val="14"/>
        </w:rPr>
        <w:t>i</w:t>
      </w:r>
      <w:r>
        <w:rPr>
          <w:rFonts w:ascii="Arial" w:hAnsi="Arial"/>
          <w:spacing w:val="2"/>
          <w:sz w:val="14"/>
        </w:rPr>
        <w:t>=</w:t>
      </w:r>
      <w:r>
        <w:rPr>
          <w:i/>
          <w:spacing w:val="2"/>
          <w:sz w:val="14"/>
        </w:rPr>
        <w:t>1</w:t>
      </w:r>
    </w:p>
    <w:p>
      <w:pPr>
        <w:spacing w:after="0" w:line="220" w:lineRule="auto"/>
        <w:jc w:val="left"/>
        <w:rPr>
          <w:sz w:val="14"/>
        </w:rPr>
        <w:sectPr>
          <w:type w:val="continuous"/>
          <w:pgSz w:w="11910" w:h="16840"/>
          <w:pgMar w:top="580" w:bottom="280" w:left="1240" w:right="1300"/>
          <w:cols w:num="2" w:equalWidth="0">
            <w:col w:w="1269" w:space="40"/>
            <w:col w:w="8061"/>
          </w:cols>
        </w:sectPr>
      </w:pPr>
    </w:p>
    <w:p>
      <w:pPr>
        <w:pStyle w:val="BodyText"/>
        <w:spacing w:before="64"/>
        <w:ind w:left="177"/>
      </w:pPr>
      <w:r>
        <w:rPr/>
        <w:t>Note that </w:t>
      </w:r>
      <w:r>
        <w:rPr>
          <w:b/>
        </w:rPr>
        <w:t>u</w:t>
      </w:r>
      <w:r>
        <w:rPr>
          <w:b/>
          <w:position w:val="6"/>
          <w:sz w:val="22"/>
        </w:rPr>
        <w:t>* </w:t>
      </w:r>
      <w:r>
        <w:rPr/>
        <w:t>can also be written as</w:t>
      </w:r>
    </w:p>
    <w:p>
      <w:pPr>
        <w:tabs>
          <w:tab w:pos="7978" w:val="left" w:leader="none"/>
        </w:tabs>
        <w:spacing w:line="374" w:lineRule="exact" w:before="24"/>
        <w:ind w:left="886" w:right="0" w:firstLine="0"/>
        <w:jc w:val="left"/>
        <w:rPr>
          <w:sz w:val="24"/>
        </w:rPr>
      </w:pPr>
      <w:r>
        <w:rPr>
          <w:b/>
          <w:sz w:val="24"/>
        </w:rPr>
        <w:t>u</w:t>
      </w:r>
      <w:r>
        <w:rPr>
          <w:b/>
          <w:position w:val="6"/>
          <w:sz w:val="24"/>
        </w:rPr>
        <w:t>* </w:t>
      </w:r>
      <w:r>
        <w:rPr>
          <w:sz w:val="24"/>
        </w:rPr>
        <w:t>=</w:t>
      </w:r>
      <w:r>
        <w:rPr>
          <w:spacing w:val="-6"/>
          <w:sz w:val="24"/>
        </w:rPr>
        <w:t> </w:t>
      </w:r>
      <w:r>
        <w:rPr>
          <w:rFonts w:ascii="Arial" w:hAnsi="Arial"/>
          <w:i/>
          <w:sz w:val="25"/>
        </w:rPr>
        <w:t>β</w:t>
      </w:r>
      <w:r>
        <w:rPr>
          <w:position w:val="-6"/>
          <w:sz w:val="16"/>
        </w:rPr>
        <w:t>HL</w:t>
      </w:r>
      <w:r>
        <w:rPr>
          <w:spacing w:val="-3"/>
          <w:position w:val="-6"/>
          <w:sz w:val="16"/>
        </w:rPr>
        <w:t> </w:t>
      </w:r>
      <w:r>
        <w:rPr>
          <w:rFonts w:ascii="Arial" w:hAnsi="Arial"/>
          <w:b/>
          <w:sz w:val="24"/>
        </w:rPr>
        <w:t>α</w:t>
        <w:tab/>
      </w:r>
      <w:r>
        <w:rPr>
          <w:sz w:val="24"/>
        </w:rPr>
        <w:t>(C.11a)</w:t>
      </w:r>
    </w:p>
    <w:p>
      <w:pPr>
        <w:pStyle w:val="BodyText"/>
        <w:spacing w:line="268" w:lineRule="auto"/>
        <w:ind w:left="177" w:right="111"/>
        <w:jc w:val="both"/>
      </w:pPr>
      <w:r>
        <w:rPr/>
        <w:t>where </w:t>
      </w:r>
      <w:r>
        <w:rPr>
          <w:rFonts w:ascii="Arial" w:hAnsi="Arial"/>
          <w:b/>
        </w:rPr>
        <w:t>α </w:t>
      </w:r>
      <w:r>
        <w:rPr/>
        <w:t>= (</w:t>
      </w:r>
      <w:r>
        <w:rPr>
          <w:rFonts w:ascii="Arial" w:hAnsi="Arial"/>
          <w:i/>
          <w:sz w:val="25"/>
        </w:rPr>
        <w:t>α</w:t>
      </w:r>
      <w:r>
        <w:rPr>
          <w:i/>
          <w:position w:val="-6"/>
          <w:sz w:val="16"/>
        </w:rPr>
        <w:t>1</w:t>
      </w:r>
      <w:r>
        <w:rPr/>
        <w:t>, </w:t>
      </w:r>
      <w:r>
        <w:rPr>
          <w:rFonts w:ascii="Arial" w:hAnsi="Arial"/>
          <w:i/>
          <w:sz w:val="25"/>
        </w:rPr>
        <w:t>α</w:t>
      </w:r>
      <w:r>
        <w:rPr>
          <w:i/>
          <w:position w:val="-6"/>
          <w:sz w:val="16"/>
        </w:rPr>
        <w:t>2</w:t>
      </w:r>
      <w:r>
        <w:rPr/>
        <w:t>, ... </w:t>
      </w:r>
      <w:r>
        <w:rPr>
          <w:rFonts w:ascii="Arial" w:hAnsi="Arial"/>
          <w:i/>
          <w:sz w:val="25"/>
        </w:rPr>
        <w:t>α</w:t>
      </w:r>
      <w:r>
        <w:rPr>
          <w:i/>
          <w:position w:val="-6"/>
          <w:sz w:val="16"/>
        </w:rPr>
        <w:t>n</w:t>
      </w:r>
      <w:r>
        <w:rPr/>
        <w:t>) is the unit normal vector to the limit state surface at </w:t>
      </w:r>
      <w:r>
        <w:rPr>
          <w:b/>
        </w:rPr>
        <w:t>u</w:t>
      </w:r>
      <w:r>
        <w:rPr>
          <w:b/>
          <w:position w:val="6"/>
        </w:rPr>
        <w:t>*</w:t>
      </w:r>
      <w:r>
        <w:rPr/>
        <w:t>, and, hence, </w:t>
      </w:r>
      <w:r>
        <w:rPr>
          <w:rFonts w:ascii="Arial" w:hAnsi="Arial"/>
          <w:i/>
          <w:sz w:val="25"/>
        </w:rPr>
        <w:t>α</w:t>
      </w:r>
      <w:r>
        <w:rPr>
          <w:i/>
          <w:position w:val="-3"/>
          <w:sz w:val="22"/>
        </w:rPr>
        <w:t>i </w:t>
      </w:r>
      <w:r>
        <w:rPr/>
        <w:t>(</w:t>
      </w:r>
      <w:r>
        <w:rPr>
          <w:i/>
        </w:rPr>
        <w:t>i</w:t>
      </w:r>
      <w:r>
        <w:rPr/>
        <w:t>=1,...</w:t>
      </w:r>
      <w:r>
        <w:rPr>
          <w:i/>
        </w:rPr>
        <w:t>n</w:t>
      </w:r>
      <w:r>
        <w:rPr/>
        <w:t>) represent the direction cosines at the design point. These are also known as the sensitivity factors, as they provide an indication of the relative importance of the uncertainty</w:t>
      </w:r>
    </w:p>
    <w:p>
      <w:pPr>
        <w:spacing w:after="0" w:line="268" w:lineRule="auto"/>
        <w:jc w:val="both"/>
        <w:sectPr>
          <w:type w:val="continuous"/>
          <w:pgSz w:w="11910" w:h="16840"/>
          <w:pgMar w:top="580" w:bottom="280" w:left="1240" w:right="1300"/>
        </w:sectPr>
      </w:pPr>
    </w:p>
    <w:p>
      <w:pPr>
        <w:pStyle w:val="BodyText"/>
        <w:spacing w:line="312" w:lineRule="auto" w:before="62"/>
        <w:ind w:left="177" w:right="111"/>
        <w:jc w:val="both"/>
      </w:pPr>
      <w:r>
        <w:rPr/>
        <w:t>in basic random variables on the computed reliability. Their absolute value ranges between zero and unity and the closer this is to the upper limit, the more significant the influence of  the</w:t>
      </w:r>
      <w:r>
        <w:rPr>
          <w:spacing w:val="47"/>
        </w:rPr>
        <w:t> </w:t>
      </w:r>
      <w:r>
        <w:rPr/>
        <w:t>respective</w:t>
      </w:r>
      <w:r>
        <w:rPr>
          <w:spacing w:val="47"/>
        </w:rPr>
        <w:t> </w:t>
      </w:r>
      <w:r>
        <w:rPr/>
        <w:t>random</w:t>
      </w:r>
      <w:r>
        <w:rPr>
          <w:spacing w:val="45"/>
        </w:rPr>
        <w:t> </w:t>
      </w:r>
      <w:r>
        <w:rPr/>
        <w:t>variable</w:t>
      </w:r>
      <w:r>
        <w:rPr>
          <w:spacing w:val="47"/>
        </w:rPr>
        <w:t> </w:t>
      </w:r>
      <w:r>
        <w:rPr/>
        <w:t>is</w:t>
      </w:r>
      <w:r>
        <w:rPr>
          <w:spacing w:val="47"/>
        </w:rPr>
        <w:t> </w:t>
      </w:r>
      <w:r>
        <w:rPr/>
        <w:t>to</w:t>
      </w:r>
      <w:r>
        <w:rPr>
          <w:spacing w:val="47"/>
        </w:rPr>
        <w:t> </w:t>
      </w:r>
      <w:r>
        <w:rPr/>
        <w:t>the</w:t>
      </w:r>
      <w:r>
        <w:rPr>
          <w:spacing w:val="47"/>
        </w:rPr>
        <w:t> </w:t>
      </w:r>
      <w:r>
        <w:rPr/>
        <w:t>reliability.</w:t>
      </w:r>
      <w:r>
        <w:rPr>
          <w:spacing w:val="46"/>
        </w:rPr>
        <w:t> </w:t>
      </w:r>
      <w:r>
        <w:rPr/>
        <w:t>The</w:t>
      </w:r>
      <w:r>
        <w:rPr>
          <w:spacing w:val="46"/>
        </w:rPr>
        <w:t> </w:t>
      </w:r>
      <w:r>
        <w:rPr/>
        <w:t>following</w:t>
      </w:r>
      <w:r>
        <w:rPr>
          <w:spacing w:val="46"/>
        </w:rPr>
        <w:t> </w:t>
      </w:r>
      <w:r>
        <w:rPr/>
        <w:t>expression</w:t>
      </w:r>
      <w:r>
        <w:rPr>
          <w:spacing w:val="46"/>
        </w:rPr>
        <w:t> </w:t>
      </w:r>
      <w:r>
        <w:rPr/>
        <w:t>is</w:t>
      </w:r>
      <w:r>
        <w:rPr>
          <w:spacing w:val="46"/>
        </w:rPr>
        <w:t> </w:t>
      </w:r>
      <w:r>
        <w:rPr/>
        <w:t>valid</w:t>
      </w:r>
      <w:r>
        <w:rPr>
          <w:spacing w:val="46"/>
        </w:rPr>
        <w:t> </w:t>
      </w:r>
      <w:r>
        <w:rPr/>
        <w:t>for</w:t>
      </w:r>
    </w:p>
    <w:p>
      <w:pPr>
        <w:pStyle w:val="BodyText"/>
        <w:spacing w:line="264" w:lineRule="exact" w:before="3"/>
        <w:ind w:left="177"/>
        <w:jc w:val="both"/>
      </w:pPr>
      <w:r>
        <w:rPr/>
        <w:t>independent variables</w:t>
      </w:r>
    </w:p>
    <w:p>
      <w:pPr>
        <w:tabs>
          <w:tab w:pos="7978" w:val="left" w:leader="none"/>
        </w:tabs>
        <w:spacing w:line="267" w:lineRule="exact" w:before="0"/>
        <w:ind w:left="1013" w:right="0" w:firstLine="0"/>
        <w:jc w:val="left"/>
        <w:rPr>
          <w:sz w:val="24"/>
        </w:rPr>
      </w:pPr>
      <w:r>
        <w:rPr/>
        <w:pict>
          <v:shape style="position:absolute;margin-left:108.059998pt;margin-top:5.390134pt;width:45.35pt;height:22.15pt;mso-position-horizontal-relative:page;mso-position-vertical-relative:paragraph;z-index:-57664" type="#_x0000_t202" filled="false" stroked="false">
            <v:textbox inset="0,0,0,0">
              <w:txbxContent>
                <w:p>
                  <w:pPr>
                    <w:spacing w:line="412" w:lineRule="exact" w:before="30"/>
                    <w:ind w:left="0" w:right="0" w:firstLine="0"/>
                    <w:jc w:val="left"/>
                    <w:rPr>
                      <w:i/>
                      <w:sz w:val="24"/>
                    </w:rPr>
                  </w:pPr>
                  <w:r>
                    <w:rPr>
                      <w:rFonts w:ascii="Arial" w:hAnsi="Arial"/>
                      <w:position w:val="-5"/>
                      <w:sz w:val="36"/>
                    </w:rPr>
                    <w:t>∑</w:t>
                  </w:r>
                  <w:r>
                    <w:rPr>
                      <w:rFonts w:ascii="Arial" w:hAnsi="Arial"/>
                      <w:i/>
                      <w:sz w:val="25"/>
                    </w:rPr>
                    <w:t>α </w:t>
                  </w:r>
                  <w:r>
                    <w:rPr>
                      <w:rFonts w:ascii="Arial" w:hAnsi="Arial"/>
                      <w:sz w:val="24"/>
                    </w:rPr>
                    <w:t>= </w:t>
                  </w:r>
                  <w:r>
                    <w:rPr>
                      <w:i/>
                      <w:sz w:val="24"/>
                    </w:rPr>
                    <w:t>1</w:t>
                  </w:r>
                </w:p>
              </w:txbxContent>
            </v:textbox>
            <w10:wrap type="none"/>
          </v:shape>
        </w:pict>
      </w:r>
      <w:r>
        <w:rPr/>
        <w:pict>
          <v:shape style="position:absolute;margin-left:130.61998pt;margin-top:9.117113pt;width:3.55pt;height:7.8pt;mso-position-horizontal-relative:page;mso-position-vertical-relative:paragraph;z-index:-57616" type="#_x0000_t202" filled="false" stroked="false">
            <v:textbox inset="0,0,0,0">
              <w:txbxContent>
                <w:p>
                  <w:pPr>
                    <w:spacing w:line="155" w:lineRule="exact" w:before="0"/>
                    <w:ind w:left="0" w:right="0" w:firstLine="0"/>
                    <w:jc w:val="left"/>
                    <w:rPr>
                      <w:i/>
                      <w:sz w:val="14"/>
                    </w:rPr>
                  </w:pPr>
                  <w:r>
                    <w:rPr>
                      <w:i/>
                      <w:w w:val="100"/>
                      <w:sz w:val="14"/>
                    </w:rPr>
                    <w:t>2</w:t>
                  </w:r>
                </w:p>
              </w:txbxContent>
            </v:textbox>
            <w10:wrap type="none"/>
          </v:shape>
        </w:pict>
      </w:r>
      <w:r>
        <w:rPr>
          <w:i/>
          <w:position w:val="4"/>
          <w:sz w:val="14"/>
        </w:rPr>
        <w:t>n</w:t>
        <w:tab/>
      </w:r>
      <w:r>
        <w:rPr>
          <w:sz w:val="24"/>
        </w:rPr>
        <w:t>(C.11b)</w:t>
      </w:r>
    </w:p>
    <w:p>
      <w:pPr>
        <w:spacing w:line="159" w:lineRule="exact" w:before="77"/>
        <w:ind w:left="1349" w:right="0" w:firstLine="0"/>
        <w:jc w:val="left"/>
        <w:rPr>
          <w:i/>
          <w:sz w:val="14"/>
        </w:rPr>
      </w:pPr>
      <w:r>
        <w:rPr>
          <w:i/>
          <w:w w:val="100"/>
          <w:sz w:val="14"/>
        </w:rPr>
        <w:t>1</w:t>
      </w:r>
    </w:p>
    <w:p>
      <w:pPr>
        <w:spacing w:before="10"/>
        <w:ind w:left="952" w:right="0" w:firstLine="0"/>
        <w:jc w:val="left"/>
        <w:rPr>
          <w:i/>
          <w:sz w:val="14"/>
        </w:rPr>
      </w:pPr>
      <w:r>
        <w:rPr>
          <w:i/>
          <w:sz w:val="14"/>
        </w:rPr>
        <w:t>i</w:t>
      </w:r>
      <w:r>
        <w:rPr>
          <w:rFonts w:ascii="Arial"/>
          <w:sz w:val="14"/>
        </w:rPr>
        <w:t>=</w:t>
      </w:r>
      <w:r>
        <w:rPr>
          <w:i/>
          <w:sz w:val="14"/>
        </w:rPr>
        <w:t>1</w:t>
      </w:r>
    </w:p>
    <w:p>
      <w:pPr>
        <w:pStyle w:val="ListParagraph"/>
        <w:numPr>
          <w:ilvl w:val="0"/>
          <w:numId w:val="23"/>
        </w:numPr>
        <w:tabs>
          <w:tab w:pos="516" w:val="left" w:leader="none"/>
        </w:tabs>
        <w:spacing w:line="240" w:lineRule="auto" w:before="103" w:after="0"/>
        <w:ind w:left="515" w:right="0" w:hanging="338"/>
        <w:jc w:val="left"/>
        <w:rPr>
          <w:i/>
          <w:sz w:val="24"/>
        </w:rPr>
      </w:pPr>
      <w:r>
        <w:rPr>
          <w:i/>
          <w:sz w:val="24"/>
        </w:rPr>
        <w:t>Approximation techniques:</w:t>
      </w:r>
    </w:p>
    <w:p>
      <w:pPr>
        <w:pStyle w:val="BodyText"/>
        <w:spacing w:line="360" w:lineRule="exact" w:before="19"/>
        <w:ind w:left="177" w:right="110"/>
        <w:jc w:val="both"/>
      </w:pPr>
      <w:r>
        <w:rPr/>
        <w:t>Once the checking point is determined, the failure probability can be approximated using results applicable to the standard normal space. Thus, in a first-order approximation, the limit state surface is approximated by its tangent hyperplane at the design point. The probability content of the failure set is then given by</w:t>
      </w:r>
    </w:p>
    <w:p>
      <w:pPr>
        <w:tabs>
          <w:tab w:pos="7978" w:val="left" w:leader="none"/>
        </w:tabs>
        <w:spacing w:line="122" w:lineRule="auto" w:before="0"/>
        <w:ind w:left="886" w:right="0" w:firstLine="0"/>
        <w:jc w:val="left"/>
        <w:rPr>
          <w:sz w:val="24"/>
        </w:rPr>
      </w:pPr>
      <w:r>
        <w:rPr>
          <w:i/>
          <w:position w:val="-11"/>
          <w:sz w:val="24"/>
        </w:rPr>
        <w:t>P</w:t>
      </w:r>
      <w:r>
        <w:rPr>
          <w:i/>
          <w:position w:val="-15"/>
          <w:sz w:val="18"/>
        </w:rPr>
        <w:t>f</w:t>
      </w:r>
      <w:r>
        <w:rPr>
          <w:position w:val="-15"/>
          <w:sz w:val="18"/>
        </w:rPr>
        <w:t>FORM</w:t>
      </w:r>
      <w:r>
        <w:rPr>
          <w:spacing w:val="-12"/>
          <w:position w:val="-15"/>
          <w:sz w:val="18"/>
        </w:rPr>
        <w:t> </w:t>
      </w:r>
      <w:r>
        <w:rPr>
          <w:position w:val="-11"/>
          <w:sz w:val="24"/>
        </w:rPr>
        <w:t>=</w:t>
      </w:r>
      <w:r>
        <w:rPr>
          <w:spacing w:val="52"/>
          <w:position w:val="-11"/>
          <w:sz w:val="24"/>
        </w:rPr>
        <w:t> </w:t>
      </w:r>
      <w:r>
        <w:rPr>
          <w:rFonts w:ascii="Arial" w:hAnsi="Arial"/>
          <w:position w:val="-11"/>
          <w:sz w:val="24"/>
        </w:rPr>
        <w:t>Φ</w:t>
      </w:r>
      <w:r>
        <w:rPr>
          <w:position w:val="-11"/>
          <w:sz w:val="24"/>
        </w:rPr>
        <w:t>(</w:t>
      </w:r>
      <w:r>
        <w:rPr>
          <w:rFonts w:ascii="Arial" w:hAnsi="Arial"/>
          <w:position w:val="-11"/>
          <w:sz w:val="24"/>
        </w:rPr>
        <w:t>−</w:t>
      </w:r>
      <w:r>
        <w:rPr>
          <w:rFonts w:ascii="Arial" w:hAnsi="Arial"/>
          <w:i/>
          <w:position w:val="-11"/>
          <w:sz w:val="25"/>
        </w:rPr>
        <w:t>β</w:t>
      </w:r>
      <w:r>
        <w:rPr>
          <w:position w:val="-15"/>
          <w:sz w:val="18"/>
        </w:rPr>
        <w:t>HL</w:t>
      </w:r>
      <w:r>
        <w:rPr>
          <w:position w:val="-11"/>
          <w:sz w:val="24"/>
        </w:rPr>
        <w:t>)</w:t>
        <w:tab/>
      </w:r>
      <w:r>
        <w:rPr>
          <w:sz w:val="24"/>
        </w:rPr>
        <w:t>(C.12a)</w:t>
      </w:r>
    </w:p>
    <w:p>
      <w:pPr>
        <w:pStyle w:val="BodyText"/>
        <w:spacing w:line="360" w:lineRule="atLeast" w:before="89"/>
        <w:ind w:left="177" w:right="112"/>
        <w:jc w:val="both"/>
      </w:pPr>
      <w:r>
        <w:rPr/>
        <w:t>In some cases, a higher order approximation of the limit state surface at the design point is merited, if only to check the accuracy of FORM. The result for the probability of failure assuming a quadratic (second-order) approximation of the limit state surface is asymptotically given by</w:t>
      </w:r>
    </w:p>
    <w:p>
      <w:pPr>
        <w:spacing w:after="0" w:line="360" w:lineRule="atLeast"/>
        <w:jc w:val="both"/>
        <w:sectPr>
          <w:pgSz w:w="11910" w:h="16840"/>
          <w:pgMar w:header="0" w:footer="788" w:top="1460" w:bottom="980" w:left="1240" w:right="1300"/>
        </w:sectPr>
      </w:pPr>
    </w:p>
    <w:p>
      <w:pPr>
        <w:spacing w:before="178"/>
        <w:ind w:left="220" w:right="0" w:firstLine="0"/>
        <w:jc w:val="left"/>
        <w:rPr>
          <w:i/>
          <w:sz w:val="14"/>
        </w:rPr>
      </w:pPr>
      <w:r>
        <w:rPr>
          <w:i/>
          <w:spacing w:val="-1"/>
          <w:position w:val="6"/>
          <w:sz w:val="24"/>
        </w:rPr>
        <w:t>P</w:t>
      </w:r>
      <w:r>
        <w:rPr>
          <w:i/>
          <w:spacing w:val="-1"/>
          <w:sz w:val="14"/>
        </w:rPr>
        <w:t>fSORM</w:t>
      </w:r>
    </w:p>
    <w:p>
      <w:pPr>
        <w:spacing w:line="152" w:lineRule="exact" w:before="24"/>
        <w:ind w:left="45" w:right="0" w:firstLine="0"/>
        <w:jc w:val="center"/>
        <w:rPr>
          <w:sz w:val="14"/>
        </w:rPr>
      </w:pPr>
      <w:r>
        <w:rPr/>
        <w:br w:type="column"/>
      </w:r>
      <w:r>
        <w:rPr>
          <w:i/>
          <w:sz w:val="14"/>
        </w:rPr>
        <w:t>n</w:t>
      </w:r>
      <w:r>
        <w:rPr>
          <w:rFonts w:ascii="Arial" w:hAnsi="Arial"/>
          <w:sz w:val="14"/>
        </w:rPr>
        <w:t>−</w:t>
      </w:r>
      <w:r>
        <w:rPr>
          <w:sz w:val="14"/>
        </w:rPr>
        <w:t>1</w:t>
      </w:r>
    </w:p>
    <w:p>
      <w:pPr>
        <w:tabs>
          <w:tab w:pos="1447" w:val="left" w:leader="none"/>
        </w:tabs>
        <w:spacing w:line="315" w:lineRule="exact" w:before="0"/>
        <w:ind w:left="67" w:right="0" w:firstLine="0"/>
        <w:jc w:val="center"/>
        <w:rPr>
          <w:sz w:val="24"/>
        </w:rPr>
      </w:pPr>
      <w:r>
        <w:rPr/>
        <w:pict>
          <v:shape style="position:absolute;margin-left:159.179993pt;margin-top:-3.943753pt;width:14.9pt;height:22.15pt;mso-position-horizontal-relative:page;mso-position-vertical-relative:paragraph;z-index:-57640" type="#_x0000_t202" filled="false" stroked="false">
            <v:textbox inset="0,0,0,0">
              <w:txbxContent>
                <w:p>
                  <w:pPr>
                    <w:spacing w:before="25"/>
                    <w:ind w:left="0" w:right="0" w:firstLine="0"/>
                    <w:jc w:val="left"/>
                    <w:rPr>
                      <w:rFonts w:ascii="Arial" w:hAnsi="Arial"/>
                      <w:sz w:val="36"/>
                    </w:rPr>
                  </w:pPr>
                  <w:r>
                    <w:rPr>
                      <w:rFonts w:ascii="Arial" w:hAnsi="Arial"/>
                      <w:w w:val="100"/>
                      <w:sz w:val="36"/>
                    </w:rPr>
                    <w:t>∏</w:t>
                  </w:r>
                </w:p>
              </w:txbxContent>
            </v:textbox>
            <w10:wrap type="none"/>
          </v:shape>
        </w:pict>
      </w:r>
      <w:r>
        <w:rPr>
          <w:rFonts w:ascii="Arial" w:hAnsi="Arial"/>
          <w:sz w:val="24"/>
        </w:rPr>
        <w:t>=</w:t>
      </w:r>
      <w:r>
        <w:rPr>
          <w:rFonts w:ascii="Arial" w:hAnsi="Arial"/>
          <w:spacing w:val="-21"/>
          <w:sz w:val="24"/>
        </w:rPr>
        <w:t> </w:t>
      </w:r>
      <w:r>
        <w:rPr>
          <w:rFonts w:ascii="Arial" w:hAnsi="Arial"/>
          <w:spacing w:val="5"/>
          <w:sz w:val="24"/>
        </w:rPr>
        <w:t>Φ</w:t>
      </w:r>
      <w:r>
        <w:rPr>
          <w:spacing w:val="5"/>
          <w:sz w:val="24"/>
        </w:rPr>
        <w:t>(</w:t>
      </w:r>
      <w:r>
        <w:rPr>
          <w:rFonts w:ascii="Arial" w:hAnsi="Arial"/>
          <w:spacing w:val="5"/>
          <w:sz w:val="24"/>
        </w:rPr>
        <w:t>−</w:t>
      </w:r>
      <w:r>
        <w:rPr>
          <w:rFonts w:ascii="Arial" w:hAnsi="Arial"/>
          <w:i/>
          <w:spacing w:val="5"/>
          <w:sz w:val="25"/>
        </w:rPr>
        <w:t>β</w:t>
      </w:r>
      <w:r>
        <w:rPr>
          <w:rFonts w:ascii="Arial" w:hAnsi="Arial"/>
          <w:i/>
          <w:spacing w:val="-47"/>
          <w:sz w:val="25"/>
        </w:rPr>
        <w:t> </w:t>
      </w:r>
      <w:r>
        <w:rPr>
          <w:i/>
          <w:position w:val="-5"/>
          <w:sz w:val="14"/>
        </w:rPr>
        <w:t>HL</w:t>
      </w:r>
      <w:r>
        <w:rPr>
          <w:i/>
          <w:spacing w:val="-19"/>
          <w:position w:val="-5"/>
          <w:sz w:val="14"/>
        </w:rPr>
        <w:t> </w:t>
      </w:r>
      <w:r>
        <w:rPr>
          <w:sz w:val="24"/>
        </w:rPr>
        <w:t>)</w:t>
        <w:tab/>
        <w:t>(1</w:t>
      </w:r>
      <w:r>
        <w:rPr>
          <w:rFonts w:ascii="Arial" w:hAnsi="Arial"/>
          <w:sz w:val="24"/>
        </w:rPr>
        <w:t>−</w:t>
      </w:r>
      <w:r>
        <w:rPr>
          <w:rFonts w:ascii="Arial" w:hAnsi="Arial"/>
          <w:spacing w:val="-21"/>
          <w:sz w:val="24"/>
        </w:rPr>
        <w:t> </w:t>
      </w:r>
      <w:r>
        <w:rPr>
          <w:rFonts w:ascii="Arial" w:hAnsi="Arial"/>
          <w:i/>
          <w:sz w:val="25"/>
        </w:rPr>
        <w:t>β</w:t>
      </w:r>
      <w:r>
        <w:rPr>
          <w:rFonts w:ascii="Arial" w:hAnsi="Arial"/>
          <w:i/>
          <w:spacing w:val="-46"/>
          <w:sz w:val="25"/>
        </w:rPr>
        <w:t> </w:t>
      </w:r>
      <w:r>
        <w:rPr>
          <w:i/>
          <w:position w:val="-5"/>
          <w:sz w:val="14"/>
        </w:rPr>
        <w:t>HL</w:t>
      </w:r>
      <w:r>
        <w:rPr>
          <w:rFonts w:ascii="Arial" w:hAnsi="Arial"/>
          <w:i/>
          <w:sz w:val="25"/>
        </w:rPr>
        <w:t>κ</w:t>
      </w:r>
      <w:r>
        <w:rPr>
          <w:rFonts w:ascii="Arial" w:hAnsi="Arial"/>
          <w:i/>
          <w:spacing w:val="-14"/>
          <w:sz w:val="25"/>
        </w:rPr>
        <w:t> </w:t>
      </w:r>
      <w:r>
        <w:rPr>
          <w:i/>
          <w:position w:val="-5"/>
          <w:sz w:val="14"/>
        </w:rPr>
        <w:t>j</w:t>
      </w:r>
      <w:r>
        <w:rPr>
          <w:i/>
          <w:spacing w:val="-15"/>
          <w:position w:val="-5"/>
          <w:sz w:val="14"/>
        </w:rPr>
        <w:t> </w:t>
      </w:r>
      <w:r>
        <w:rPr>
          <w:sz w:val="24"/>
        </w:rPr>
        <w:t>)</w:t>
      </w:r>
    </w:p>
    <w:p>
      <w:pPr>
        <w:spacing w:before="11"/>
        <w:ind w:left="71" w:right="0" w:firstLine="0"/>
        <w:jc w:val="center"/>
        <w:rPr>
          <w:sz w:val="14"/>
        </w:rPr>
      </w:pPr>
      <w:r>
        <w:rPr>
          <w:i/>
          <w:sz w:val="14"/>
        </w:rPr>
        <w:t>j </w:t>
      </w:r>
      <w:r>
        <w:rPr>
          <w:rFonts w:ascii="Arial"/>
          <w:sz w:val="14"/>
        </w:rPr>
        <w:t>=</w:t>
      </w:r>
      <w:r>
        <w:rPr>
          <w:sz w:val="14"/>
        </w:rPr>
        <w:t>1</w:t>
      </w:r>
    </w:p>
    <w:p>
      <w:pPr>
        <w:pStyle w:val="BodyText"/>
        <w:spacing w:before="2"/>
        <w:rPr>
          <w:sz w:val="14"/>
        </w:rPr>
      </w:pPr>
      <w:r>
        <w:rPr/>
        <w:br w:type="column"/>
      </w:r>
      <w:r>
        <w:rPr>
          <w:sz w:val="14"/>
        </w:rPr>
      </w:r>
    </w:p>
    <w:p>
      <w:pPr>
        <w:spacing w:before="0"/>
        <w:ind w:left="-25" w:right="0" w:firstLine="0"/>
        <w:jc w:val="left"/>
        <w:rPr>
          <w:sz w:val="14"/>
        </w:rPr>
      </w:pPr>
      <w:r>
        <w:rPr>
          <w:rFonts w:ascii="Arial" w:hAnsi="Arial"/>
          <w:sz w:val="14"/>
        </w:rPr>
        <w:t>−</w:t>
      </w:r>
      <w:r>
        <w:rPr>
          <w:sz w:val="14"/>
        </w:rPr>
        <w:t>1/ 2</w:t>
      </w:r>
    </w:p>
    <w:p>
      <w:pPr>
        <w:pStyle w:val="BodyText"/>
        <w:spacing w:line="253" w:lineRule="exact"/>
        <w:ind w:left="220"/>
      </w:pPr>
      <w:r>
        <w:rPr/>
        <w:br w:type="column"/>
      </w:r>
      <w:r>
        <w:rPr/>
        <w:t>(C.12b)</w:t>
      </w:r>
    </w:p>
    <w:p>
      <w:pPr>
        <w:spacing w:after="0" w:line="253" w:lineRule="exact"/>
        <w:sectPr>
          <w:type w:val="continuous"/>
          <w:pgSz w:w="11910" w:h="16840"/>
          <w:pgMar w:top="580" w:bottom="280" w:left="1240" w:right="1300"/>
          <w:cols w:num="4" w:equalWidth="0">
            <w:col w:w="778" w:space="40"/>
            <w:col w:w="2521" w:space="39"/>
            <w:col w:w="300" w:space="3371"/>
            <w:col w:w="2321"/>
          </w:cols>
        </w:sectPr>
      </w:pPr>
    </w:p>
    <w:p>
      <w:pPr>
        <w:pStyle w:val="BodyText"/>
        <w:spacing w:line="271" w:lineRule="auto" w:before="129"/>
        <w:ind w:left="177" w:right="112" w:hanging="1"/>
        <w:jc w:val="both"/>
      </w:pPr>
      <w:r>
        <w:rPr/>
        <w:t>for </w:t>
      </w:r>
      <w:r>
        <w:rPr>
          <w:rFonts w:ascii="Arial" w:hAnsi="Arial"/>
          <w:i/>
          <w:sz w:val="25"/>
        </w:rPr>
        <w:t>β</w:t>
      </w:r>
      <w:r>
        <w:rPr>
          <w:position w:val="-3"/>
          <w:sz w:val="20"/>
        </w:rPr>
        <w:t>HL </w:t>
      </w:r>
      <w:r>
        <w:rPr>
          <w:rFonts w:ascii="Arial" w:hAnsi="Arial"/>
          <w:position w:val="-3"/>
          <w:sz w:val="22"/>
        </w:rPr>
        <w:t>→ </w:t>
      </w:r>
      <w:r>
        <w:rPr>
          <w:rFonts w:ascii="Arial" w:hAnsi="Arial"/>
        </w:rPr>
        <w:t>∞ </w:t>
      </w:r>
      <w:r>
        <w:rPr/>
        <w:t>, where </w:t>
      </w:r>
      <w:r>
        <w:rPr>
          <w:rFonts w:ascii="Arial" w:hAnsi="Arial"/>
          <w:i/>
          <w:sz w:val="25"/>
        </w:rPr>
        <w:t>κ</w:t>
      </w:r>
      <w:r>
        <w:rPr>
          <w:i/>
          <w:position w:val="-3"/>
          <w:sz w:val="22"/>
        </w:rPr>
        <w:t>j </w:t>
      </w:r>
      <w:r>
        <w:rPr/>
        <w:t>are the principal curvatures of the limit state surface at the design point. An expression applicable to finite values of </w:t>
      </w:r>
      <w:r>
        <w:rPr>
          <w:rFonts w:ascii="Arial" w:hAnsi="Arial"/>
          <w:i/>
          <w:sz w:val="25"/>
        </w:rPr>
        <w:t>β</w:t>
      </w:r>
      <w:r>
        <w:rPr>
          <w:position w:val="-3"/>
          <w:sz w:val="20"/>
        </w:rPr>
        <w:t>HL </w:t>
      </w:r>
      <w:r>
        <w:rPr/>
        <w:t>is also available.</w:t>
      </w:r>
    </w:p>
    <w:p>
      <w:pPr>
        <w:pStyle w:val="BodyText"/>
        <w:spacing w:before="8"/>
        <w:rPr>
          <w:sz w:val="32"/>
        </w:rPr>
      </w:pPr>
    </w:p>
    <w:p>
      <w:pPr>
        <w:pStyle w:val="BodyText"/>
        <w:ind w:left="177"/>
      </w:pPr>
      <w:r>
        <w:rPr>
          <w:u w:val="single"/>
        </w:rPr>
        <w:t>Simulation Methods</w:t>
      </w:r>
    </w:p>
    <w:p>
      <w:pPr>
        <w:pStyle w:val="BodyText"/>
        <w:spacing w:line="360" w:lineRule="exact" w:before="20"/>
        <w:ind w:left="177" w:right="109"/>
        <w:jc w:val="both"/>
      </w:pPr>
      <w:r>
        <w:rPr/>
        <w:t>In this approach, random sampling is employed to simulate a large number of (usually numerical) experiments and to observe the result. In the context of structural reliability, this means, in the simplest approach, sampling the random vector </w:t>
      </w:r>
      <w:r>
        <w:rPr>
          <w:b/>
        </w:rPr>
        <w:t>X </w:t>
      </w:r>
      <w:r>
        <w:rPr/>
        <w:t>to obtain a set of sample values. The limit state function is then evaluated to ascertain whether, for this set, failure (i.e. </w:t>
      </w:r>
      <w:r>
        <w:rPr>
          <w:i/>
        </w:rPr>
        <w:t>g</w:t>
      </w:r>
      <w:r>
        <w:rPr/>
        <w:t>(</w:t>
      </w:r>
      <w:r>
        <w:rPr>
          <w:b/>
        </w:rPr>
        <w:t>x</w:t>
      </w:r>
      <w:r>
        <w:rPr/>
        <w:t>)</w:t>
      </w:r>
      <w:r>
        <w:rPr>
          <w:rFonts w:ascii="Arial" w:hAnsi="Arial"/>
        </w:rPr>
        <w:t>≤</w:t>
      </w:r>
      <w:r>
        <w:rPr/>
        <w:t>0) has occurred. The experiment is repeated many times and the probability of failure, </w:t>
      </w:r>
      <w:r>
        <w:rPr>
          <w:i/>
        </w:rPr>
        <w:t>P</w:t>
      </w:r>
      <w:r>
        <w:rPr>
          <w:i/>
          <w:position w:val="-3"/>
          <w:sz w:val="22"/>
        </w:rPr>
        <w:t>f</w:t>
      </w:r>
      <w:r>
        <w:rPr/>
        <w:t>, is estimated from the fraction of trials leading to failure divided by the total number of trials. This so-called Direct or Crude Monte Carlo method is not likely to be of use in  practical problems because of the large number of trials required in order to estimate with a certain degree of confidence the failure probability. Note that the number of trials increases as the failure probability decreases. Simple rules may be found, of the form </w:t>
      </w:r>
      <w:r>
        <w:rPr>
          <w:i/>
        </w:rPr>
        <w:t>N </w:t>
      </w:r>
      <w:r>
        <w:rPr/>
        <w:t>&gt; C/</w:t>
      </w:r>
      <w:r>
        <w:rPr>
          <w:i/>
        </w:rPr>
        <w:t>P</w:t>
      </w:r>
      <w:r>
        <w:rPr>
          <w:i/>
          <w:position w:val="-3"/>
          <w:sz w:val="22"/>
        </w:rPr>
        <w:t>f</w:t>
      </w:r>
      <w:r>
        <w:rPr/>
        <w:t>, where </w:t>
      </w:r>
      <w:r>
        <w:rPr>
          <w:i/>
        </w:rPr>
        <w:t>N </w:t>
      </w:r>
      <w:r>
        <w:rPr/>
        <w:t>is the required sample size and C is a constant related to the confidence level and the type of function being</w:t>
      </w:r>
      <w:r>
        <w:rPr>
          <w:spacing w:val="-3"/>
        </w:rPr>
        <w:t> </w:t>
      </w:r>
      <w:r>
        <w:rPr/>
        <w:t>evaluated.</w:t>
      </w:r>
    </w:p>
    <w:p>
      <w:pPr>
        <w:pStyle w:val="BodyText"/>
        <w:spacing w:line="297" w:lineRule="auto" w:before="64"/>
        <w:ind w:left="177" w:right="112"/>
        <w:jc w:val="both"/>
      </w:pPr>
      <w:r>
        <w:rPr/>
        <w:t>Thus, the objective of more advanced simulation methods, currently used for reliability evaluation, is to reduce the variance of the estimate of </w:t>
      </w:r>
      <w:r>
        <w:rPr>
          <w:i/>
        </w:rPr>
        <w:t>P</w:t>
      </w:r>
      <w:r>
        <w:rPr>
          <w:i/>
          <w:position w:val="-3"/>
          <w:sz w:val="22"/>
        </w:rPr>
        <w:t>f</w:t>
      </w:r>
      <w:r>
        <w:rPr/>
        <w:t>. Such methods can be divided into two categories, namely indicator function methods and conditional expectation methods.</w:t>
      </w:r>
    </w:p>
    <w:p>
      <w:pPr>
        <w:spacing w:after="0" w:line="297" w:lineRule="auto"/>
        <w:jc w:val="both"/>
        <w:sectPr>
          <w:type w:val="continuous"/>
          <w:pgSz w:w="11910" w:h="16840"/>
          <w:pgMar w:top="580" w:bottom="280" w:left="1240" w:right="1300"/>
        </w:sectPr>
      </w:pPr>
    </w:p>
    <w:p>
      <w:pPr>
        <w:pStyle w:val="BodyText"/>
        <w:spacing w:line="312" w:lineRule="auto" w:before="62"/>
        <w:ind w:left="177" w:right="110"/>
        <w:jc w:val="both"/>
      </w:pPr>
      <w:r>
        <w:rPr/>
        <w:t>An example of the former is Importance Sampling, where the aim is to concentrate the distribution of the sample points in the vicinity of likely failure points, such as the design point obtained from FORM/SORM analysis. This is done by introducing a sampling function, whose choice would depend on </w:t>
      </w:r>
      <w:r>
        <w:rPr>
          <w:i/>
        </w:rPr>
        <w:t>a priori </w:t>
      </w:r>
      <w:r>
        <w:rPr/>
        <w:t>information available, such as the co-ordinates of the design point and/or any estimates of the failure probability. In this way, the success rate (defined here as a probability of obtaining a result in the failure region in any particular trial) is improved compared to Direct Monte Carlo. Importance Sampling is often used following  an initial FORM/SORM analysis. A variant of this method is Adaptive Sampling, in which  the sampling density is updated as the simulation proceeds. Importance Sampling could be performed in basic variable or standard normal space, depending on the problem and the form of prior</w:t>
      </w:r>
      <w:r>
        <w:rPr>
          <w:spacing w:val="-3"/>
        </w:rPr>
        <w:t> </w:t>
      </w:r>
      <w:r>
        <w:rPr/>
        <w:t>information.</w:t>
      </w:r>
    </w:p>
    <w:p>
      <w:pPr>
        <w:pStyle w:val="BodyText"/>
        <w:spacing w:before="5"/>
        <w:rPr>
          <w:sz w:val="32"/>
        </w:rPr>
      </w:pPr>
    </w:p>
    <w:p>
      <w:pPr>
        <w:pStyle w:val="BodyText"/>
        <w:spacing w:line="312" w:lineRule="auto"/>
        <w:ind w:left="177" w:right="112"/>
        <w:jc w:val="both"/>
      </w:pPr>
      <w:r>
        <w:rPr/>
        <w:t>A powerful method belonging to the second category is Directional Simulation. It achieves variance reduction using conditional expectation in the standard normal space, where  a special result applies pertaining to the probability bounded by a hypershere centred at the origin. Its efficiency lies in that each random trial generates precise information on where the boundary between safety and failure lies. However, the method does generally require some iterative calculations. It is particularly suited to problems where it is difficult to identify 'important' regions (perhaps due to the presence of multiple local design</w:t>
      </w:r>
      <w:r>
        <w:rPr>
          <w:spacing w:val="38"/>
        </w:rPr>
        <w:t> </w:t>
      </w:r>
      <w:r>
        <w:rPr/>
        <w:t>points).</w:t>
      </w:r>
    </w:p>
    <w:p>
      <w:pPr>
        <w:pStyle w:val="BodyText"/>
        <w:spacing w:before="1"/>
        <w:rPr>
          <w:sz w:val="32"/>
        </w:rPr>
      </w:pPr>
    </w:p>
    <w:p>
      <w:pPr>
        <w:pStyle w:val="BodyText"/>
        <w:spacing w:line="312" w:lineRule="auto"/>
        <w:ind w:left="177" w:right="111"/>
        <w:jc w:val="both"/>
      </w:pPr>
      <w:r>
        <w:rPr/>
        <w:t>The two methods outlined above have also been used in combination, which indicates that when simulation is chosen as the basic approach for reliability assessment, there is scope to adapt the detailed methodology to suit the particular problem in hand.</w:t>
      </w:r>
    </w:p>
    <w:p>
      <w:pPr>
        <w:pStyle w:val="BodyText"/>
        <w:rPr>
          <w:sz w:val="26"/>
        </w:rPr>
      </w:pPr>
    </w:p>
    <w:p>
      <w:pPr>
        <w:pStyle w:val="ListParagraph"/>
        <w:numPr>
          <w:ilvl w:val="2"/>
          <w:numId w:val="22"/>
        </w:numPr>
        <w:tabs>
          <w:tab w:pos="1085" w:val="left" w:leader="none"/>
        </w:tabs>
        <w:spacing w:line="240" w:lineRule="auto" w:before="233" w:after="0"/>
        <w:ind w:left="1084" w:right="0" w:hanging="907"/>
        <w:jc w:val="both"/>
        <w:rPr>
          <w:sz w:val="24"/>
        </w:rPr>
      </w:pPr>
      <w:r>
        <w:rPr>
          <w:sz w:val="24"/>
          <w:u w:val="single"/>
        </w:rPr>
        <w:t>Recommendations</w:t>
      </w:r>
    </w:p>
    <w:p>
      <w:pPr>
        <w:pStyle w:val="BodyText"/>
        <w:spacing w:before="3"/>
        <w:rPr>
          <w:sz w:val="20"/>
        </w:rPr>
      </w:pPr>
    </w:p>
    <w:p>
      <w:pPr>
        <w:pStyle w:val="BodyText"/>
        <w:spacing w:line="312" w:lineRule="auto" w:before="91"/>
        <w:ind w:left="177" w:right="110"/>
        <w:jc w:val="both"/>
      </w:pPr>
      <w:r>
        <w:rPr/>
        <w:t>As with any other analysis, choosing a particular method must be justified through experience and/or verification. Experience shows that FORM/SORM estimates are adequate for a wide range of problems. However, these approximate methods have the disadvantage of not being quantified by error estimates, except for few special cases. As indicated, simulation may be used to verify FORM/SORM results, particularly in situations where multiple design points might be suspected. Simulation results should include the variance of the estimated probability of failure, though good estimates of the variance could increase the computations required. When using FORM/SORM, attention should be given to the ordering of dependent random variables and the choice of initial points for the search algorithm. Not least, the  results for the design point should be assessed to ensure that they do not contradict physical reasoning.</w:t>
      </w:r>
    </w:p>
    <w:p>
      <w:pPr>
        <w:spacing w:after="0" w:line="312" w:lineRule="auto"/>
        <w:jc w:val="both"/>
        <w:sectPr>
          <w:pgSz w:w="11910" w:h="16840"/>
          <w:pgMar w:header="0" w:footer="788" w:top="1460" w:bottom="980" w:left="1240" w:right="130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0"/>
        <w:rPr>
          <w:sz w:val="23"/>
        </w:rPr>
      </w:pPr>
    </w:p>
    <w:p>
      <w:pPr>
        <w:pStyle w:val="Heading2"/>
        <w:numPr>
          <w:ilvl w:val="1"/>
          <w:numId w:val="24"/>
        </w:numPr>
        <w:tabs>
          <w:tab w:pos="1084" w:val="left" w:leader="none"/>
          <w:tab w:pos="1085" w:val="left" w:leader="none"/>
        </w:tabs>
        <w:spacing w:line="240" w:lineRule="auto" w:before="90" w:after="0"/>
        <w:ind w:left="1084" w:right="0" w:hanging="907"/>
        <w:jc w:val="left"/>
      </w:pPr>
      <w:bookmarkStart w:name="_TOC_250007" w:id="43"/>
      <w:bookmarkEnd w:id="43"/>
      <w:r>
        <w:rPr/>
        <w:t>System Reliability Analysis</w:t>
      </w:r>
    </w:p>
    <w:p>
      <w:pPr>
        <w:pStyle w:val="BodyText"/>
        <w:spacing w:line="312" w:lineRule="auto" w:before="202"/>
        <w:ind w:left="177" w:right="111"/>
        <w:jc w:val="both"/>
      </w:pPr>
      <w:r>
        <w:rPr/>
        <w:t>As discussed in section 3, individual component failure events can be represented by failure boundaries in basic variable or standard normal space. System failure events can be similarly represented, see Fig. C.6(a) and C.6(b), and, once more, certain approximate results may be derived as an extension to FORM/SORM analysis of individual components. In addition, system analysis is sometimes performed using bounding techniques and some relevant results are given below.</w:t>
      </w:r>
    </w:p>
    <w:p>
      <w:pPr>
        <w:pStyle w:val="BodyText"/>
        <w:rPr>
          <w:sz w:val="26"/>
        </w:rPr>
      </w:pPr>
    </w:p>
    <w:p>
      <w:pPr>
        <w:pStyle w:val="ListParagraph"/>
        <w:numPr>
          <w:ilvl w:val="2"/>
          <w:numId w:val="24"/>
        </w:numPr>
        <w:tabs>
          <w:tab w:pos="1085" w:val="left" w:leader="none"/>
        </w:tabs>
        <w:spacing w:line="240" w:lineRule="auto" w:before="228" w:after="0"/>
        <w:ind w:left="1084" w:right="0" w:hanging="907"/>
        <w:jc w:val="both"/>
        <w:rPr>
          <w:sz w:val="18"/>
        </w:rPr>
      </w:pPr>
      <w:r>
        <w:rPr>
          <w:sz w:val="24"/>
          <w:u w:val="single"/>
        </w:rPr>
        <w:t>Series</w:t>
      </w:r>
      <w:r>
        <w:rPr>
          <w:spacing w:val="-2"/>
          <w:sz w:val="24"/>
          <w:u w:val="single"/>
        </w:rPr>
        <w:t> </w:t>
      </w:r>
      <w:r>
        <w:rPr>
          <w:sz w:val="24"/>
          <w:u w:val="single"/>
        </w:rPr>
        <w:t>systems</w:t>
      </w:r>
    </w:p>
    <w:p>
      <w:pPr>
        <w:pStyle w:val="BodyText"/>
        <w:spacing w:before="4"/>
        <w:rPr>
          <w:sz w:val="20"/>
        </w:rPr>
      </w:pPr>
    </w:p>
    <w:p>
      <w:pPr>
        <w:pStyle w:val="BodyText"/>
        <w:spacing w:line="252" w:lineRule="exact" w:before="90"/>
        <w:ind w:left="177"/>
      </w:pPr>
      <w:r>
        <w:rPr/>
        <w:t>The probability of failure of a series system with </w:t>
      </w:r>
      <w:r>
        <w:rPr>
          <w:i/>
        </w:rPr>
        <w:t>m </w:t>
      </w:r>
      <w:r>
        <w:rPr/>
        <w:t>components is defined as</w:t>
      </w:r>
    </w:p>
    <w:p>
      <w:pPr>
        <w:spacing w:line="64" w:lineRule="exact" w:before="0"/>
        <w:ind w:left="1926" w:right="0" w:firstLine="0"/>
        <w:jc w:val="left"/>
        <w:rPr>
          <w:sz w:val="14"/>
        </w:rPr>
      </w:pPr>
      <w:r>
        <w:rPr/>
        <w:pict>
          <v:group style="position:absolute;margin-left:150.820496pt;margin-top:.810524pt;width:2.5pt;height:26pt;mso-position-horizontal-relative:page;mso-position-vertical-relative:paragraph;z-index:2416" coordorigin="3016,16" coordsize="50,520">
            <v:line style="position:absolute" from="3066,26" to="3026,26" stroked="true" strokeweight=".999pt" strokecolor="#000000">
              <v:stroke dashstyle="solid"/>
            </v:line>
            <v:line style="position:absolute" from="3026,26" to="3026,525" stroked="true" strokeweight=".999pt" strokecolor="#000000">
              <v:stroke dashstyle="solid"/>
            </v:line>
            <v:line style="position:absolute" from="3026,525" to="3066,525" stroked="true" strokeweight=".999pt" strokecolor="#000000">
              <v:stroke dashstyle="solid"/>
            </v:line>
            <w10:wrap type="none"/>
          </v:group>
        </w:pict>
      </w:r>
      <w:r>
        <w:rPr/>
        <w:pict>
          <v:group style="position:absolute;margin-left:181.320007pt;margin-top:.810524pt;width:2.5pt;height:26pt;mso-position-horizontal-relative:page;mso-position-vertical-relative:paragraph;z-index:2440" coordorigin="3626,16" coordsize="50,520">
            <v:line style="position:absolute" from="3626,26" to="3666,26" stroked="true" strokeweight=".999pt" strokecolor="#000000">
              <v:stroke dashstyle="solid"/>
            </v:line>
            <v:line style="position:absolute" from="3666,26" to="3666,525" stroked="true" strokeweight=".999pt" strokecolor="#000000">
              <v:stroke dashstyle="solid"/>
            </v:line>
            <v:line style="position:absolute" from="3666,525" to="3626,525" stroked="true" strokeweight=".999pt" strokecolor="#000000">
              <v:stroke dashstyle="solid"/>
            </v:line>
            <w10:wrap type="none"/>
          </v:group>
        </w:pict>
      </w:r>
      <w:r>
        <w:rPr>
          <w:sz w:val="14"/>
        </w:rPr>
        <w:t>m</w:t>
      </w:r>
    </w:p>
    <w:p>
      <w:pPr>
        <w:spacing w:after="0" w:line="64" w:lineRule="exact"/>
        <w:jc w:val="left"/>
        <w:rPr>
          <w:sz w:val="14"/>
        </w:rPr>
        <w:sectPr>
          <w:pgSz w:w="11910" w:h="16840"/>
          <w:pgMar w:header="0" w:footer="788" w:top="1600" w:bottom="980" w:left="1240" w:right="1300"/>
        </w:sectPr>
      </w:pPr>
    </w:p>
    <w:p>
      <w:pPr>
        <w:spacing w:before="58"/>
        <w:ind w:left="886" w:right="0" w:firstLine="0"/>
        <w:jc w:val="left"/>
        <w:rPr>
          <w:sz w:val="24"/>
        </w:rPr>
      </w:pPr>
      <w:r>
        <w:rPr>
          <w:i/>
          <w:position w:val="4"/>
          <w:sz w:val="24"/>
        </w:rPr>
        <w:t>P</w:t>
      </w:r>
      <w:r>
        <w:rPr>
          <w:i/>
          <w:sz w:val="18"/>
        </w:rPr>
        <w:t>f sys </w:t>
      </w:r>
      <w:r>
        <w:rPr>
          <w:position w:val="4"/>
          <w:sz w:val="24"/>
        </w:rPr>
        <w:t>= P</w:t>
      </w:r>
    </w:p>
    <w:p>
      <w:pPr>
        <w:spacing w:line="307" w:lineRule="exact" w:before="19"/>
        <w:ind w:left="70" w:right="0" w:firstLine="0"/>
        <w:jc w:val="left"/>
        <w:rPr>
          <w:i/>
          <w:sz w:val="24"/>
        </w:rPr>
      </w:pPr>
      <w:r>
        <w:rPr/>
        <w:br w:type="column"/>
      </w:r>
      <w:r>
        <w:rPr>
          <w:rFonts w:ascii="Arial" w:hAnsi="Arial"/>
          <w:sz w:val="28"/>
        </w:rPr>
        <w:t>∪ </w:t>
      </w:r>
      <w:r>
        <w:rPr>
          <w:spacing w:val="-13"/>
          <w:sz w:val="24"/>
        </w:rPr>
        <w:t>F</w:t>
      </w:r>
      <w:r>
        <w:rPr>
          <w:i/>
          <w:spacing w:val="-13"/>
          <w:sz w:val="24"/>
          <w:vertAlign w:val="subscript"/>
        </w:rPr>
        <w:t>j</w:t>
      </w:r>
    </w:p>
    <w:p>
      <w:pPr>
        <w:spacing w:line="146" w:lineRule="exact" w:before="0"/>
        <w:ind w:left="31" w:right="0" w:firstLine="0"/>
        <w:jc w:val="left"/>
        <w:rPr>
          <w:sz w:val="14"/>
        </w:rPr>
      </w:pPr>
      <w:r>
        <w:rPr>
          <w:i/>
          <w:sz w:val="14"/>
        </w:rPr>
        <w:t>j </w:t>
      </w:r>
      <w:r>
        <w:rPr>
          <w:sz w:val="14"/>
        </w:rPr>
        <w:t>= 1</w:t>
      </w:r>
    </w:p>
    <w:p>
      <w:pPr>
        <w:pStyle w:val="BodyText"/>
        <w:spacing w:before="57"/>
        <w:ind w:left="869" w:right="749"/>
        <w:jc w:val="center"/>
      </w:pPr>
      <w:r>
        <w:rPr/>
        <w:br w:type="column"/>
      </w:r>
      <w:r>
        <w:rPr/>
        <w:t>(C.13)</w:t>
      </w:r>
    </w:p>
    <w:p>
      <w:pPr>
        <w:spacing w:after="0"/>
        <w:jc w:val="center"/>
        <w:sectPr>
          <w:type w:val="continuous"/>
          <w:pgSz w:w="11910" w:h="16840"/>
          <w:pgMar w:top="580" w:bottom="280" w:left="1240" w:right="1300"/>
          <w:cols w:num="3" w:equalWidth="0">
            <w:col w:w="1776" w:space="40"/>
            <w:col w:w="602" w:space="4674"/>
            <w:col w:w="2278"/>
          </w:cols>
        </w:sectPr>
      </w:pPr>
    </w:p>
    <w:p>
      <w:pPr>
        <w:pStyle w:val="BodyText"/>
        <w:spacing w:line="278" w:lineRule="auto" w:before="145"/>
        <w:ind w:left="177" w:hanging="1"/>
        <w:rPr>
          <w:i/>
        </w:rPr>
      </w:pPr>
      <w:r>
        <w:rPr/>
        <w:t>where, F</w:t>
      </w:r>
      <w:r>
        <w:rPr>
          <w:i/>
          <w:position w:val="-3"/>
        </w:rPr>
        <w:t>j </w:t>
      </w:r>
      <w:r>
        <w:rPr/>
        <w:t>is the event corresponding to the failure of the </w:t>
      </w:r>
      <w:r>
        <w:rPr>
          <w:i/>
        </w:rPr>
        <w:t>j</w:t>
      </w:r>
      <w:r>
        <w:rPr/>
        <w:t>th component. By describing this event in terms of a safety margin M</w:t>
      </w:r>
      <w:r>
        <w:rPr>
          <w:i/>
          <w:position w:val="-3"/>
        </w:rPr>
        <w:t>j</w:t>
      </w:r>
    </w:p>
    <w:p>
      <w:pPr>
        <w:spacing w:after="0" w:line="278" w:lineRule="auto"/>
        <w:sectPr>
          <w:type w:val="continuous"/>
          <w:pgSz w:w="11910" w:h="16840"/>
          <w:pgMar w:top="580" w:bottom="280" w:left="1240" w:right="1300"/>
        </w:sectPr>
      </w:pPr>
    </w:p>
    <w:p>
      <w:pPr>
        <w:spacing w:before="283"/>
        <w:ind w:left="929" w:right="0" w:firstLine="0"/>
        <w:jc w:val="left"/>
        <w:rPr>
          <w:sz w:val="24"/>
        </w:rPr>
      </w:pPr>
      <w:r>
        <w:rPr>
          <w:i/>
          <w:sz w:val="24"/>
        </w:rPr>
        <w:t>P</w:t>
      </w:r>
      <w:r>
        <w:rPr>
          <w:sz w:val="24"/>
        </w:rPr>
        <w:t>[</w:t>
      </w:r>
      <w:r>
        <w:rPr>
          <w:i/>
          <w:sz w:val="24"/>
        </w:rPr>
        <w:t>F</w:t>
      </w:r>
      <w:r>
        <w:rPr>
          <w:i/>
          <w:position w:val="-5"/>
          <w:sz w:val="14"/>
        </w:rPr>
        <w:t>j </w:t>
      </w:r>
      <w:r>
        <w:rPr>
          <w:sz w:val="24"/>
        </w:rPr>
        <w:t>] </w:t>
      </w:r>
      <w:r>
        <w:rPr>
          <w:rFonts w:ascii="Arial" w:hAnsi="Arial"/>
          <w:sz w:val="24"/>
        </w:rPr>
        <w:t>= </w:t>
      </w:r>
      <w:r>
        <w:rPr>
          <w:i/>
          <w:sz w:val="24"/>
        </w:rPr>
        <w:t>P</w:t>
      </w:r>
      <w:r>
        <w:rPr>
          <w:sz w:val="24"/>
        </w:rPr>
        <w:t>[</w:t>
      </w:r>
      <w:r>
        <w:rPr>
          <w:i/>
          <w:sz w:val="24"/>
        </w:rPr>
        <w:t>M </w:t>
      </w:r>
      <w:r>
        <w:rPr>
          <w:i/>
          <w:position w:val="-5"/>
          <w:sz w:val="14"/>
        </w:rPr>
        <w:t>j </w:t>
      </w:r>
      <w:r>
        <w:rPr>
          <w:rFonts w:ascii="Arial" w:hAnsi="Arial"/>
          <w:sz w:val="24"/>
        </w:rPr>
        <w:t>≤ </w:t>
      </w:r>
      <w:r>
        <w:rPr>
          <w:sz w:val="24"/>
        </w:rPr>
        <w:t>0] </w:t>
      </w:r>
      <w:r>
        <w:rPr>
          <w:rFonts w:ascii="Arial" w:hAnsi="Arial"/>
          <w:sz w:val="24"/>
        </w:rPr>
        <w:t>≈ Φ</w:t>
      </w:r>
      <w:r>
        <w:rPr>
          <w:sz w:val="24"/>
        </w:rPr>
        <w:t>(</w:t>
      </w:r>
      <w:r>
        <w:rPr>
          <w:rFonts w:ascii="Arial" w:hAnsi="Arial"/>
          <w:sz w:val="24"/>
        </w:rPr>
        <w:t>−</w:t>
      </w:r>
      <w:r>
        <w:rPr>
          <w:rFonts w:ascii="Arial" w:hAnsi="Arial"/>
          <w:i/>
          <w:sz w:val="25"/>
        </w:rPr>
        <w:t>β </w:t>
      </w:r>
      <w:r>
        <w:rPr>
          <w:i/>
          <w:position w:val="-5"/>
          <w:sz w:val="14"/>
        </w:rPr>
        <w:t>j </w:t>
      </w:r>
      <w:r>
        <w:rPr>
          <w:sz w:val="24"/>
        </w:rPr>
        <w:t>)</w:t>
      </w:r>
    </w:p>
    <w:p>
      <w:pPr>
        <w:pStyle w:val="BodyText"/>
        <w:ind w:left="929"/>
      </w:pPr>
      <w:r>
        <w:rPr/>
        <w:br w:type="column"/>
      </w:r>
      <w:r>
        <w:rPr/>
        <w:t>(C.14)</w:t>
      </w:r>
    </w:p>
    <w:p>
      <w:pPr>
        <w:spacing w:after="0"/>
        <w:sectPr>
          <w:type w:val="continuous"/>
          <w:pgSz w:w="11910" w:h="16840"/>
          <w:pgMar w:top="580" w:bottom="280" w:left="1240" w:right="1300"/>
          <w:cols w:num="2" w:equalWidth="0">
            <w:col w:w="3757" w:space="3292"/>
            <w:col w:w="2321"/>
          </w:cols>
        </w:sectPr>
      </w:pPr>
    </w:p>
    <w:p>
      <w:pPr>
        <w:pStyle w:val="BodyText"/>
        <w:spacing w:line="276" w:lineRule="auto" w:before="122"/>
        <w:ind w:left="177"/>
      </w:pPr>
      <w:r>
        <w:rPr/>
        <w:pict>
          <v:group style="position:absolute;margin-left:181.8405pt;margin-top:38.025425pt;width:11pt;height:20pt;mso-position-horizontal-relative:page;mso-position-vertical-relative:paragraph;z-index:-57496" coordorigin="3637,761" coordsize="220,400">
            <v:line style="position:absolute" from="3686,770" to="3647,770" stroked="true" strokeweight=".999pt" strokecolor="#000000">
              <v:stroke dashstyle="solid"/>
            </v:line>
            <v:line style="position:absolute" from="3647,770" to="3647,1150" stroked="true" strokeweight=".999pt" strokecolor="#000000">
              <v:stroke dashstyle="solid"/>
            </v:line>
            <v:line style="position:absolute" from="3647,1150" to="3686,1150" stroked="true" strokeweight=".999pt" strokecolor="#000000">
              <v:stroke dashstyle="solid"/>
            </v:line>
            <v:shape style="position:absolute;left:3706;top:790;width:140;height:20" coordorigin="3707,791" coordsize="140,20" path="m3707,810l3726,791,3746,791,3806,810,3827,810,3846,791e" filled="false" stroked="true" strokeweight=".999pt" strokecolor="#000000">
              <v:path arrowok="t"/>
              <v:stroke dashstyle="solid"/>
            </v:shape>
            <w10:wrap type="none"/>
          </v:group>
        </w:pict>
      </w:r>
      <w:r>
        <w:rPr/>
        <w:pict>
          <v:group style="position:absolute;margin-left:200.800507pt;margin-top:38.025425pt;width:10pt;height:20pt;mso-position-horizontal-relative:page;mso-position-vertical-relative:paragraph;z-index:-57472" coordorigin="4016,761" coordsize="200,400">
            <v:line style="position:absolute" from="4166,770" to="4206,770" stroked="true" strokeweight=".999pt" strokecolor="#000000">
              <v:stroke dashstyle="solid"/>
            </v:line>
            <v:line style="position:absolute" from="4206,770" to="4206,1150" stroked="true" strokeweight=".999pt" strokecolor="#000000">
              <v:stroke dashstyle="solid"/>
            </v:line>
            <v:line style="position:absolute" from="4206,1150" to="4166,1150" stroked="true" strokeweight=".999pt" strokecolor="#000000">
              <v:stroke dashstyle="solid"/>
            </v:line>
            <v:shape style="position:absolute;left:4026;top:810;width:141;height:21" coordorigin="4026,810" coordsize="141,21" path="m4026,830l4046,810,4067,810,4127,830,4146,830,4166,810e" filled="false" stroked="true" strokeweight=".999pt" strokecolor="#000000">
              <v:path arrowok="t"/>
              <v:stroke dashstyle="solid"/>
            </v:shape>
            <v:shape style="position:absolute;left:4026;top:870;width:141;height:21" coordorigin="4026,870" coordsize="141,21" path="m4026,890l4046,870,4067,870,4127,890,4146,890,4166,870e" filled="false" stroked="true" strokeweight=".999pt" strokecolor="#000000">
              <v:path arrowok="t"/>
              <v:stroke dashstyle="solid"/>
            </v:shape>
            <w10:wrap type="none"/>
          </v:group>
        </w:pict>
      </w:r>
      <w:r>
        <w:rPr/>
        <w:t>where </w:t>
      </w:r>
      <w:r>
        <w:rPr>
          <w:rFonts w:ascii="Arial" w:hAnsi="Arial"/>
          <w:i/>
          <w:sz w:val="25"/>
        </w:rPr>
        <w:t>β</w:t>
      </w:r>
      <w:r>
        <w:rPr>
          <w:i/>
          <w:position w:val="-3"/>
        </w:rPr>
        <w:t>j </w:t>
      </w:r>
      <w:r>
        <w:rPr/>
        <w:t>is its corresponding FORM reliability index, it can be shown that in a first-order approximation</w:t>
      </w:r>
    </w:p>
    <w:p>
      <w:pPr>
        <w:tabs>
          <w:tab w:pos="7978" w:val="left" w:leader="none"/>
        </w:tabs>
        <w:spacing w:line="333" w:lineRule="exact" w:before="0"/>
        <w:ind w:left="886" w:right="0" w:firstLine="0"/>
        <w:jc w:val="left"/>
        <w:rPr>
          <w:sz w:val="24"/>
        </w:rPr>
      </w:pPr>
      <w:r>
        <w:rPr/>
        <w:pict>
          <v:group style="position:absolute;margin-left:415.677399pt;margin-top:21.224617pt;width:9.75pt;height:2.1pt;mso-position-horizontal-relative:page;mso-position-vertical-relative:paragraph;z-index:2368;mso-wrap-distance-left:0;mso-wrap-distance-right:0" coordorigin="8314,424" coordsize="195,42">
            <v:line style="position:absolute" from="8325,455" to="8350,436" stroked="true" strokeweight="1.084948pt" strokecolor="#000000">
              <v:stroke dashstyle="solid"/>
            </v:line>
            <v:shape style="position:absolute;left:8349;top:435;width:123;height:20" coordorigin="8350,436" coordsize="123,20" path="m8350,436l8374,436,8448,455,8472,455e" filled="false" stroked="true" strokeweight="1.004238pt" strokecolor="#000000">
              <v:path arrowok="t"/>
              <v:stroke dashstyle="solid"/>
            </v:shape>
            <v:line style="position:absolute" from="8472,455" to="8497,436" stroked="true" strokeweight="1.084948pt" strokecolor="#000000">
              <v:stroke dashstyle="solid"/>
            </v:line>
            <w10:wrap type="topAndBottom"/>
          </v:group>
        </w:pict>
      </w:r>
      <w:r>
        <w:rPr>
          <w:i/>
          <w:spacing w:val="-4"/>
          <w:sz w:val="24"/>
        </w:rPr>
        <w:t>P</w:t>
      </w:r>
      <w:r>
        <w:rPr>
          <w:i/>
          <w:spacing w:val="-4"/>
          <w:sz w:val="24"/>
          <w:vertAlign w:val="subscript"/>
        </w:rPr>
        <w:t>f</w:t>
      </w:r>
      <w:r>
        <w:rPr>
          <w:i/>
          <w:spacing w:val="-4"/>
          <w:sz w:val="24"/>
          <w:vertAlign w:val="baseline"/>
        </w:rPr>
        <w:t> </w:t>
      </w:r>
      <w:r>
        <w:rPr>
          <w:i/>
          <w:sz w:val="24"/>
          <w:vertAlign w:val="subscript"/>
        </w:rPr>
        <w:t>sys</w:t>
      </w:r>
      <w:r>
        <w:rPr>
          <w:i/>
          <w:sz w:val="24"/>
          <w:vertAlign w:val="baseline"/>
        </w:rPr>
        <w:t> </w:t>
      </w:r>
      <w:r>
        <w:rPr>
          <w:sz w:val="24"/>
          <w:vertAlign w:val="baseline"/>
        </w:rPr>
        <w:t>= 1 </w:t>
      </w:r>
      <w:r>
        <w:rPr>
          <w:rFonts w:ascii="Arial" w:hAnsi="Arial"/>
          <w:sz w:val="24"/>
          <w:vertAlign w:val="baseline"/>
        </w:rPr>
        <w:t>− Φ</w:t>
      </w:r>
      <w:r>
        <w:rPr>
          <w:sz w:val="24"/>
          <w:vertAlign w:val="subscript"/>
        </w:rPr>
        <w:t>m</w:t>
      </w:r>
      <w:r>
        <w:rPr>
          <w:sz w:val="24"/>
          <w:vertAlign w:val="baseline"/>
        </w:rPr>
        <w:t> </w:t>
      </w:r>
      <w:r>
        <w:rPr>
          <w:rFonts w:ascii="Arial" w:hAnsi="Arial"/>
          <w:b/>
          <w:sz w:val="24"/>
          <w:vertAlign w:val="baseline"/>
        </w:rPr>
        <w:t>β</w:t>
      </w:r>
      <w:r>
        <w:rPr>
          <w:rFonts w:ascii="Arial" w:hAnsi="Arial"/>
          <w:b/>
          <w:spacing w:val="-21"/>
          <w:sz w:val="24"/>
          <w:vertAlign w:val="baseline"/>
        </w:rPr>
        <w:t> </w:t>
      </w:r>
      <w:r>
        <w:rPr>
          <w:sz w:val="24"/>
          <w:vertAlign w:val="baseline"/>
        </w:rPr>
        <w:t>;</w:t>
      </w:r>
      <w:r>
        <w:rPr>
          <w:spacing w:val="-14"/>
          <w:sz w:val="24"/>
          <w:vertAlign w:val="baseline"/>
        </w:rPr>
        <w:t> </w:t>
      </w:r>
      <w:r>
        <w:rPr>
          <w:rFonts w:ascii="Arial" w:hAnsi="Arial"/>
          <w:b/>
          <w:sz w:val="24"/>
          <w:vertAlign w:val="baseline"/>
        </w:rPr>
        <w:t>ρ</w:t>
        <w:tab/>
      </w:r>
      <w:r>
        <w:rPr>
          <w:position w:val="12"/>
          <w:sz w:val="24"/>
          <w:vertAlign w:val="baseline"/>
        </w:rPr>
        <w:t>(C.15a)</w:t>
      </w:r>
    </w:p>
    <w:p>
      <w:pPr>
        <w:pStyle w:val="BodyText"/>
        <w:spacing w:line="295" w:lineRule="auto" w:before="13"/>
        <w:ind w:left="177" w:right="115"/>
      </w:pPr>
      <w:r>
        <w:rPr/>
        <w:t>where </w:t>
      </w:r>
      <w:r>
        <w:rPr>
          <w:rFonts w:ascii="Arial" w:hAnsi="Arial"/>
        </w:rPr>
        <w:t>Φ</w:t>
      </w:r>
      <w:r>
        <w:rPr>
          <w:position w:val="-3"/>
        </w:rPr>
        <w:t>m</w:t>
      </w:r>
      <w:r>
        <w:rPr/>
        <w:t>[.] is the multi-variate standard normal distribution function, </w:t>
      </w:r>
      <w:r>
        <w:rPr>
          <w:rFonts w:ascii="Arial" w:hAnsi="Arial"/>
          <w:b/>
        </w:rPr>
        <w:t>β </w:t>
      </w:r>
      <w:r>
        <w:rPr/>
        <w:t>is the (</w:t>
      </w:r>
      <w:r>
        <w:rPr>
          <w:i/>
        </w:rPr>
        <w:t>m x 1</w:t>
      </w:r>
      <w:r>
        <w:rPr/>
        <w:t>) vector of component reliability indices and </w:t>
      </w:r>
      <w:r>
        <w:rPr>
          <w:rFonts w:ascii="Arial" w:hAnsi="Arial"/>
          <w:b/>
        </w:rPr>
        <w:t>ρ </w:t>
      </w:r>
      <w:r>
        <w:rPr/>
        <w:t>is the (</w:t>
      </w:r>
      <w:r>
        <w:rPr>
          <w:i/>
        </w:rPr>
        <w:t>m x m</w:t>
      </w:r>
      <w:r>
        <w:rPr/>
        <w:t>) correlation matrix between safety</w:t>
      </w:r>
    </w:p>
    <w:p>
      <w:pPr>
        <w:pStyle w:val="BodyText"/>
        <w:spacing w:line="264" w:lineRule="exact" w:before="47"/>
        <w:ind w:left="177"/>
      </w:pPr>
      <w:r>
        <w:rPr/>
        <w:drawing>
          <wp:anchor distT="0" distB="0" distL="0" distR="0" allowOverlap="1" layoutInCell="1" locked="0" behindDoc="1" simplePos="0" relativeHeight="268378007">
            <wp:simplePos x="0" y="0"/>
            <wp:positionH relativeFrom="page">
              <wp:posOffset>3320892</wp:posOffset>
            </wp:positionH>
            <wp:positionV relativeFrom="paragraph">
              <wp:posOffset>-257820</wp:posOffset>
            </wp:positionV>
            <wp:extent cx="114309" cy="64398"/>
            <wp:effectExtent l="0" t="0" r="0" b="0"/>
            <wp:wrapNone/>
            <wp:docPr id="1" name="image3.png" descr=""/>
            <wp:cNvGraphicFramePr>
              <a:graphicFrameLocks noChangeAspect="1"/>
            </wp:cNvGraphicFramePr>
            <a:graphic>
              <a:graphicData uri="http://schemas.openxmlformats.org/drawingml/2006/picture">
                <pic:pic>
                  <pic:nvPicPr>
                    <pic:cNvPr id="2" name="image3.png"/>
                    <pic:cNvPicPr/>
                  </pic:nvPicPr>
                  <pic:blipFill>
                    <a:blip r:embed="rId8" cstate="print"/>
                    <a:stretch>
                      <a:fillRect/>
                    </a:stretch>
                  </pic:blipFill>
                  <pic:spPr>
                    <a:xfrm>
                      <a:off x="0" y="0"/>
                      <a:ext cx="114309" cy="64398"/>
                    </a:xfrm>
                    <a:prstGeom prst="rect">
                      <a:avLst/>
                    </a:prstGeom>
                  </pic:spPr>
                </pic:pic>
              </a:graphicData>
            </a:graphic>
          </wp:anchor>
        </w:drawing>
      </w:r>
      <w:r>
        <w:rPr/>
        <w:t>margins with elements given by</w:t>
      </w:r>
    </w:p>
    <w:p>
      <w:pPr>
        <w:spacing w:after="0" w:line="264" w:lineRule="exact"/>
        <w:sectPr>
          <w:type w:val="continuous"/>
          <w:pgSz w:w="11910" w:h="16840"/>
          <w:pgMar w:top="580" w:bottom="280" w:left="1240" w:right="1300"/>
        </w:sectPr>
      </w:pPr>
    </w:p>
    <w:p>
      <w:pPr>
        <w:spacing w:before="180"/>
        <w:ind w:left="0" w:right="0" w:firstLine="0"/>
        <w:jc w:val="right"/>
        <w:rPr>
          <w:i/>
          <w:sz w:val="14"/>
        </w:rPr>
      </w:pPr>
      <w:r>
        <w:rPr>
          <w:rFonts w:ascii="Arial" w:hAnsi="Arial"/>
          <w:i/>
          <w:position w:val="6"/>
          <w:sz w:val="25"/>
        </w:rPr>
        <w:t>ρ </w:t>
      </w:r>
      <w:r>
        <w:rPr>
          <w:i/>
          <w:sz w:val="14"/>
        </w:rPr>
        <w:t>jk</w:t>
      </w:r>
    </w:p>
    <w:p>
      <w:pPr>
        <w:pStyle w:val="BodyText"/>
        <w:spacing w:before="10"/>
        <w:rPr>
          <w:i/>
          <w:sz w:val="3"/>
        </w:rPr>
      </w:pPr>
      <w:r>
        <w:rPr/>
        <w:br w:type="column"/>
      </w:r>
      <w:r>
        <w:rPr>
          <w:i/>
          <w:sz w:val="3"/>
        </w:rPr>
      </w:r>
    </w:p>
    <w:p>
      <w:pPr>
        <w:pStyle w:val="BodyText"/>
        <w:spacing w:line="155" w:lineRule="exact"/>
        <w:ind w:left="353"/>
        <w:rPr>
          <w:sz w:val="15"/>
        </w:rPr>
      </w:pPr>
      <w:r>
        <w:rPr>
          <w:position w:val="-2"/>
          <w:sz w:val="15"/>
        </w:rPr>
        <w:pict>
          <v:shape style="width:3.55pt;height:7.8pt;mso-position-horizontal-relative:char;mso-position-vertical-relative:line" type="#_x0000_t202" filled="false" stroked="false">
            <w10:anchorlock/>
            <v:textbox inset="0,0,0,0">
              <w:txbxContent>
                <w:p>
                  <w:pPr>
                    <w:spacing w:line="155" w:lineRule="exact" w:before="0"/>
                    <w:ind w:left="0" w:right="0" w:firstLine="0"/>
                    <w:jc w:val="left"/>
                    <w:rPr>
                      <w:i/>
                      <w:sz w:val="14"/>
                    </w:rPr>
                  </w:pPr>
                  <w:r>
                    <w:rPr>
                      <w:i/>
                      <w:sz w:val="14"/>
                    </w:rPr>
                    <w:t>n</w:t>
                  </w:r>
                </w:p>
              </w:txbxContent>
            </v:textbox>
          </v:shape>
        </w:pict>
      </w:r>
      <w:r>
        <w:rPr>
          <w:position w:val="-2"/>
          <w:sz w:val="15"/>
        </w:rPr>
      </w:r>
    </w:p>
    <w:p>
      <w:pPr>
        <w:spacing w:line="332" w:lineRule="exact" w:before="0"/>
        <w:ind w:left="67" w:right="0" w:firstLine="0"/>
        <w:jc w:val="left"/>
        <w:rPr>
          <w:rFonts w:ascii="Arial" w:hAnsi="Arial"/>
          <w:sz w:val="36"/>
        </w:rPr>
      </w:pPr>
      <w:r>
        <w:rPr>
          <w:rFonts w:ascii="Arial" w:hAnsi="Arial"/>
          <w:sz w:val="24"/>
        </w:rPr>
        <w:t>= </w:t>
      </w:r>
      <w:r>
        <w:rPr>
          <w:rFonts w:ascii="Arial" w:hAnsi="Arial"/>
          <w:spacing w:val="-164"/>
          <w:position w:val="-5"/>
          <w:sz w:val="36"/>
        </w:rPr>
        <w:t>∑</w:t>
      </w:r>
    </w:p>
    <w:p>
      <w:pPr>
        <w:spacing w:line="142" w:lineRule="exact" w:before="0"/>
        <w:ind w:left="298" w:right="0" w:firstLine="0"/>
        <w:jc w:val="left"/>
        <w:rPr>
          <w:sz w:val="14"/>
        </w:rPr>
      </w:pPr>
      <w:r>
        <w:rPr>
          <w:i/>
          <w:w w:val="95"/>
          <w:sz w:val="14"/>
        </w:rPr>
        <w:t>i</w:t>
      </w:r>
      <w:r>
        <w:rPr>
          <w:rFonts w:ascii="Arial"/>
          <w:w w:val="95"/>
          <w:sz w:val="14"/>
        </w:rPr>
        <w:t>=</w:t>
      </w:r>
      <w:r>
        <w:rPr>
          <w:w w:val="95"/>
          <w:sz w:val="14"/>
        </w:rPr>
        <w:t>1</w:t>
      </w:r>
    </w:p>
    <w:p>
      <w:pPr>
        <w:spacing w:before="180"/>
        <w:ind w:left="-1" w:right="0" w:firstLine="0"/>
        <w:jc w:val="left"/>
        <w:rPr>
          <w:i/>
          <w:sz w:val="14"/>
        </w:rPr>
      </w:pPr>
      <w:r>
        <w:rPr/>
        <w:br w:type="column"/>
      </w:r>
      <w:r>
        <w:rPr>
          <w:rFonts w:ascii="Arial" w:hAnsi="Arial"/>
          <w:i/>
          <w:position w:val="6"/>
          <w:sz w:val="25"/>
        </w:rPr>
        <w:t>α</w:t>
      </w:r>
      <w:r>
        <w:rPr>
          <w:i/>
          <w:sz w:val="14"/>
        </w:rPr>
        <w:t>ij</w:t>
      </w:r>
      <w:r>
        <w:rPr>
          <w:rFonts w:ascii="Arial" w:hAnsi="Arial"/>
          <w:i/>
          <w:position w:val="6"/>
          <w:sz w:val="25"/>
        </w:rPr>
        <w:t>α</w:t>
      </w:r>
      <w:r>
        <w:rPr>
          <w:i/>
          <w:sz w:val="14"/>
        </w:rPr>
        <w:t>ik</w:t>
      </w:r>
    </w:p>
    <w:p>
      <w:pPr>
        <w:pStyle w:val="BodyText"/>
        <w:spacing w:line="229" w:lineRule="exact"/>
        <w:ind w:right="644"/>
        <w:jc w:val="right"/>
      </w:pPr>
      <w:r>
        <w:rPr/>
        <w:br w:type="column"/>
      </w:r>
      <w:r>
        <w:rPr/>
        <w:t>(C.15b)</w:t>
      </w:r>
    </w:p>
    <w:p>
      <w:pPr>
        <w:spacing w:line="238" w:lineRule="exact" w:before="0"/>
        <w:ind w:left="664" w:right="0" w:firstLine="0"/>
        <w:jc w:val="left"/>
        <w:rPr>
          <w:sz w:val="24"/>
        </w:rPr>
      </w:pPr>
      <w:r>
        <w:rPr>
          <w:i/>
          <w:sz w:val="24"/>
        </w:rPr>
        <w:t>,j, k </w:t>
      </w:r>
      <w:r>
        <w:rPr>
          <w:sz w:val="24"/>
        </w:rPr>
        <w:t>= 1, 2, ...,m</w:t>
      </w:r>
    </w:p>
    <w:p>
      <w:pPr>
        <w:spacing w:after="0" w:line="238" w:lineRule="exact"/>
        <w:jc w:val="left"/>
        <w:rPr>
          <w:sz w:val="24"/>
        </w:rPr>
        <w:sectPr>
          <w:type w:val="continuous"/>
          <w:pgSz w:w="11910" w:h="16840"/>
          <w:pgMar w:top="580" w:bottom="280" w:left="1240" w:right="1300"/>
          <w:cols w:num="4" w:equalWidth="0">
            <w:col w:w="1215" w:space="40"/>
            <w:col w:w="487" w:space="39"/>
            <w:col w:w="529" w:space="40"/>
            <w:col w:w="7020"/>
          </w:cols>
        </w:sectPr>
      </w:pPr>
    </w:p>
    <w:p>
      <w:pPr>
        <w:pStyle w:val="BodyText"/>
        <w:spacing w:line="302" w:lineRule="auto" w:before="101"/>
        <w:ind w:left="177" w:right="111"/>
      </w:pPr>
      <w:r>
        <w:rPr/>
        <w:t>where </w:t>
      </w:r>
      <w:r>
        <w:rPr>
          <w:rFonts w:ascii="Arial" w:hAnsi="Arial"/>
        </w:rPr>
        <w:t>α</w:t>
      </w:r>
      <w:r>
        <w:rPr>
          <w:i/>
          <w:position w:val="-3"/>
        </w:rPr>
        <w:t>ij </w:t>
      </w:r>
      <w:r>
        <w:rPr/>
        <w:t>is the sensitivity factor corresponding to the </w:t>
      </w:r>
      <w:r>
        <w:rPr>
          <w:i/>
        </w:rPr>
        <w:t>i</w:t>
      </w:r>
      <w:r>
        <w:rPr/>
        <w:t>th random variable in the </w:t>
      </w:r>
      <w:r>
        <w:rPr>
          <w:i/>
        </w:rPr>
        <w:t>j</w:t>
      </w:r>
      <w:r>
        <w:rPr/>
        <w:t>th margin. In some cases, especially when the number of components becomes large, evaluation of equation (C.15) becomes cumbersome and bounds to the system failure probability may prove sufficient.</w:t>
      </w:r>
    </w:p>
    <w:p>
      <w:pPr>
        <w:pStyle w:val="BodyText"/>
        <w:spacing w:before="9"/>
        <w:ind w:left="177"/>
      </w:pPr>
      <w:r>
        <w:rPr/>
        <w:t>Simple first-order linear bounds are given by</w:t>
      </w:r>
    </w:p>
    <w:p>
      <w:pPr>
        <w:spacing w:after="0"/>
        <w:sectPr>
          <w:type w:val="continuous"/>
          <w:pgSz w:w="11910" w:h="16840"/>
          <w:pgMar w:top="580" w:bottom="280" w:left="1240" w:right="1300"/>
        </w:sectPr>
      </w:pPr>
    </w:p>
    <w:p>
      <w:pPr>
        <w:tabs>
          <w:tab w:pos="1332" w:val="left" w:leader="none"/>
          <w:tab w:pos="2064" w:val="left" w:leader="none"/>
          <w:tab w:pos="2653" w:val="left" w:leader="none"/>
          <w:tab w:pos="3995" w:val="left" w:leader="none"/>
        </w:tabs>
        <w:spacing w:line="99" w:lineRule="exact" w:before="37"/>
        <w:ind w:left="378" w:right="0" w:firstLine="0"/>
        <w:jc w:val="left"/>
        <w:rPr>
          <w:rFonts w:ascii="Arial" w:hAnsi="Arial"/>
          <w:sz w:val="24"/>
        </w:rPr>
      </w:pPr>
      <w:r>
        <w:rPr>
          <w:i/>
          <w:w w:val="90"/>
          <w:position w:val="22"/>
          <w:sz w:val="14"/>
        </w:rPr>
        <w:t>m  </w:t>
      </w:r>
      <w:r>
        <w:rPr>
          <w:i/>
          <w:spacing w:val="1"/>
          <w:w w:val="90"/>
          <w:position w:val="22"/>
          <w:sz w:val="14"/>
        </w:rPr>
        <w:t> </w:t>
      </w:r>
      <w:r>
        <w:rPr>
          <w:rFonts w:ascii="Arial" w:hAnsi="Arial"/>
          <w:w w:val="90"/>
          <w:sz w:val="39"/>
        </w:rPr>
        <w:t>[</w:t>
        <w:tab/>
      </w:r>
      <w:r>
        <w:rPr>
          <w:rFonts w:ascii="Arial" w:hAnsi="Arial"/>
          <w:spacing w:val="8"/>
          <w:w w:val="90"/>
          <w:sz w:val="39"/>
        </w:rPr>
        <w:t>]</w:t>
      </w:r>
      <w:r>
        <w:rPr>
          <w:rFonts w:ascii="Arial" w:hAnsi="Arial"/>
          <w:spacing w:val="8"/>
          <w:w w:val="90"/>
          <w:sz w:val="24"/>
        </w:rPr>
        <w:t>≤</w:t>
        <w:tab/>
      </w:r>
      <w:r>
        <w:rPr>
          <w:rFonts w:ascii="Arial" w:hAnsi="Arial"/>
          <w:w w:val="90"/>
          <w:sz w:val="24"/>
        </w:rPr>
        <w:t>≤</w:t>
        <w:tab/>
      </w:r>
      <w:r>
        <w:rPr>
          <w:rFonts w:ascii="Arial" w:hAnsi="Arial"/>
          <w:w w:val="85"/>
          <w:position w:val="18"/>
          <w:sz w:val="24"/>
        </w:rPr>
        <w:t>⎡ </w:t>
      </w:r>
      <w:r>
        <w:rPr>
          <w:rFonts w:ascii="Arial" w:hAnsi="Arial"/>
          <w:spacing w:val="40"/>
          <w:w w:val="85"/>
          <w:position w:val="18"/>
          <w:sz w:val="24"/>
        </w:rPr>
        <w:t> </w:t>
      </w:r>
      <w:r>
        <w:rPr>
          <w:i/>
          <w:w w:val="90"/>
          <w:position w:val="24"/>
          <w:sz w:val="14"/>
        </w:rPr>
        <w:t>m</w:t>
        <w:tab/>
      </w:r>
      <w:r>
        <w:rPr>
          <w:rFonts w:ascii="Arial" w:hAnsi="Arial"/>
          <w:w w:val="50"/>
          <w:position w:val="18"/>
          <w:sz w:val="24"/>
        </w:rPr>
        <w:t>⎤</w:t>
      </w:r>
    </w:p>
    <w:p>
      <w:pPr>
        <w:pStyle w:val="BodyText"/>
        <w:spacing w:line="119" w:lineRule="exact" w:before="17"/>
        <w:ind w:left="378"/>
      </w:pPr>
      <w:r>
        <w:rPr/>
        <w:br w:type="column"/>
      </w:r>
      <w:r>
        <w:rPr/>
        <w:t>(C.16a)</w:t>
      </w:r>
    </w:p>
    <w:p>
      <w:pPr>
        <w:spacing w:after="0" w:line="119" w:lineRule="exact"/>
        <w:sectPr>
          <w:type w:val="continuous"/>
          <w:pgSz w:w="11910" w:h="16840"/>
          <w:pgMar w:top="580" w:bottom="280" w:left="1240" w:right="1300"/>
          <w:cols w:num="2" w:equalWidth="0">
            <w:col w:w="4128" w:space="3471"/>
            <w:col w:w="1771"/>
          </w:cols>
        </w:sectPr>
      </w:pPr>
    </w:p>
    <w:p>
      <w:pPr>
        <w:spacing w:line="226" w:lineRule="exact" w:before="82"/>
        <w:ind w:left="216" w:right="0" w:firstLine="0"/>
        <w:jc w:val="left"/>
        <w:rPr>
          <w:i/>
          <w:sz w:val="24"/>
        </w:rPr>
      </w:pPr>
      <w:r>
        <w:rPr>
          <w:i/>
          <w:sz w:val="24"/>
        </w:rPr>
        <w:t>Max P( F</w:t>
      </w:r>
      <w:r>
        <w:rPr>
          <w:i/>
          <w:position w:val="-5"/>
          <w:sz w:val="14"/>
        </w:rPr>
        <w:t>j </w:t>
      </w:r>
      <w:r>
        <w:rPr>
          <w:i/>
          <w:sz w:val="24"/>
        </w:rPr>
        <w:t>)</w:t>
      </w:r>
    </w:p>
    <w:p>
      <w:pPr>
        <w:spacing w:line="227" w:lineRule="exact" w:before="81"/>
        <w:ind w:left="216" w:right="0" w:firstLine="0"/>
        <w:jc w:val="left"/>
        <w:rPr>
          <w:i/>
          <w:sz w:val="14"/>
        </w:rPr>
      </w:pPr>
      <w:r>
        <w:rPr/>
        <w:br w:type="column"/>
      </w:r>
      <w:r>
        <w:rPr>
          <w:i/>
          <w:spacing w:val="-1"/>
          <w:position w:val="6"/>
          <w:sz w:val="24"/>
        </w:rPr>
        <w:t>P</w:t>
      </w:r>
      <w:r>
        <w:rPr>
          <w:i/>
          <w:spacing w:val="-1"/>
          <w:sz w:val="14"/>
        </w:rPr>
        <w:t>fsys</w:t>
      </w:r>
    </w:p>
    <w:p>
      <w:pPr>
        <w:spacing w:line="280" w:lineRule="exact" w:before="28"/>
        <w:ind w:left="216" w:right="0" w:firstLine="0"/>
        <w:jc w:val="left"/>
        <w:rPr>
          <w:rFonts w:ascii="Arial" w:hAnsi="Arial"/>
          <w:sz w:val="24"/>
        </w:rPr>
      </w:pPr>
      <w:r>
        <w:rPr/>
        <w:br w:type="column"/>
      </w:r>
      <w:r>
        <w:rPr>
          <w:i/>
          <w:sz w:val="24"/>
        </w:rPr>
        <w:t>Min</w:t>
      </w:r>
      <w:r>
        <w:rPr>
          <w:rFonts w:ascii="Arial" w:hAnsi="Arial"/>
          <w:position w:val="-4"/>
          <w:sz w:val="24"/>
        </w:rPr>
        <w:t>⎢</w:t>
      </w:r>
      <w:r>
        <w:rPr>
          <w:i/>
          <w:sz w:val="24"/>
        </w:rPr>
        <w:t>( </w:t>
      </w:r>
      <w:r>
        <w:rPr>
          <w:rFonts w:ascii="Arial" w:hAnsi="Arial"/>
          <w:position w:val="-5"/>
          <w:sz w:val="36"/>
        </w:rPr>
        <w:t>∑</w:t>
      </w:r>
      <w:r>
        <w:rPr>
          <w:rFonts w:ascii="Arial" w:hAnsi="Arial"/>
          <w:spacing w:val="-67"/>
          <w:position w:val="-5"/>
          <w:sz w:val="36"/>
        </w:rPr>
        <w:t> </w:t>
      </w:r>
      <w:r>
        <w:rPr>
          <w:i/>
          <w:sz w:val="24"/>
        </w:rPr>
        <w:t>P( </w:t>
      </w:r>
      <w:r>
        <w:rPr>
          <w:i/>
          <w:spacing w:val="6"/>
          <w:sz w:val="24"/>
        </w:rPr>
        <w:t>F</w:t>
      </w:r>
      <w:r>
        <w:rPr>
          <w:i/>
          <w:spacing w:val="6"/>
          <w:position w:val="-5"/>
          <w:sz w:val="14"/>
        </w:rPr>
        <w:t>j </w:t>
      </w:r>
      <w:r>
        <w:rPr>
          <w:i/>
          <w:spacing w:val="-8"/>
          <w:sz w:val="24"/>
        </w:rPr>
        <w:t>)),1</w:t>
      </w:r>
      <w:r>
        <w:rPr>
          <w:rFonts w:ascii="Arial" w:hAnsi="Arial"/>
          <w:spacing w:val="-8"/>
          <w:position w:val="-4"/>
          <w:sz w:val="24"/>
        </w:rPr>
        <w:t>⎥</w:t>
      </w:r>
    </w:p>
    <w:p>
      <w:pPr>
        <w:spacing w:after="0" w:line="280" w:lineRule="exact"/>
        <w:jc w:val="left"/>
        <w:rPr>
          <w:rFonts w:ascii="Arial" w:hAnsi="Arial"/>
          <w:sz w:val="24"/>
        </w:rPr>
        <w:sectPr>
          <w:type w:val="continuous"/>
          <w:pgSz w:w="11910" w:h="16840"/>
          <w:pgMar w:top="580" w:bottom="280" w:left="1240" w:right="1300"/>
          <w:cols w:num="3" w:equalWidth="0">
            <w:col w:w="1339" w:space="70"/>
            <w:col w:w="572" w:space="59"/>
            <w:col w:w="7330"/>
          </w:cols>
        </w:sectPr>
      </w:pPr>
    </w:p>
    <w:p>
      <w:pPr>
        <w:spacing w:before="9"/>
        <w:ind w:left="346" w:right="0" w:firstLine="0"/>
        <w:jc w:val="left"/>
        <w:rPr>
          <w:i/>
          <w:sz w:val="14"/>
        </w:rPr>
      </w:pPr>
      <w:r>
        <w:rPr>
          <w:i/>
          <w:sz w:val="14"/>
        </w:rPr>
        <w:t>j </w:t>
      </w:r>
      <w:r>
        <w:rPr>
          <w:rFonts w:ascii="Arial"/>
          <w:sz w:val="14"/>
        </w:rPr>
        <w:t>=</w:t>
      </w:r>
      <w:r>
        <w:rPr>
          <w:i/>
          <w:sz w:val="14"/>
        </w:rPr>
        <w:t>1</w:t>
      </w:r>
    </w:p>
    <w:p>
      <w:pPr>
        <w:tabs>
          <w:tab w:pos="1687" w:val="left" w:leader="none"/>
        </w:tabs>
        <w:spacing w:before="32"/>
        <w:ind w:left="346" w:right="0" w:firstLine="0"/>
        <w:jc w:val="left"/>
        <w:rPr>
          <w:rFonts w:ascii="Arial" w:hAnsi="Arial"/>
          <w:sz w:val="24"/>
        </w:rPr>
      </w:pPr>
      <w:r>
        <w:rPr/>
        <w:br w:type="column"/>
      </w:r>
      <w:r>
        <w:rPr>
          <w:rFonts w:ascii="Arial" w:hAnsi="Arial"/>
          <w:w w:val="80"/>
          <w:position w:val="-2"/>
          <w:sz w:val="24"/>
        </w:rPr>
        <w:t>⎣ </w:t>
      </w:r>
      <w:r>
        <w:rPr>
          <w:rFonts w:ascii="Arial" w:hAnsi="Arial"/>
          <w:spacing w:val="16"/>
          <w:w w:val="80"/>
          <w:position w:val="-2"/>
          <w:sz w:val="24"/>
        </w:rPr>
        <w:t> </w:t>
      </w:r>
      <w:r>
        <w:rPr>
          <w:i/>
          <w:w w:val="90"/>
          <w:sz w:val="14"/>
        </w:rPr>
        <w:t>j</w:t>
      </w:r>
      <w:r>
        <w:rPr>
          <w:i/>
          <w:spacing w:val="-22"/>
          <w:w w:val="90"/>
          <w:sz w:val="14"/>
        </w:rPr>
        <w:t> </w:t>
      </w:r>
      <w:r>
        <w:rPr>
          <w:rFonts w:ascii="Arial" w:hAnsi="Arial"/>
          <w:w w:val="90"/>
          <w:sz w:val="14"/>
        </w:rPr>
        <w:t>=</w:t>
      </w:r>
      <w:r>
        <w:rPr>
          <w:i/>
          <w:w w:val="90"/>
          <w:sz w:val="14"/>
        </w:rPr>
        <w:t>1</w:t>
        <w:tab/>
      </w:r>
      <w:r>
        <w:rPr>
          <w:rFonts w:ascii="Arial" w:hAnsi="Arial"/>
          <w:w w:val="50"/>
          <w:position w:val="-2"/>
          <w:sz w:val="24"/>
        </w:rPr>
        <w:t>⎦</w:t>
      </w:r>
    </w:p>
    <w:p>
      <w:pPr>
        <w:pStyle w:val="BodyText"/>
        <w:spacing w:line="250" w:lineRule="exact" w:before="159"/>
        <w:ind w:left="346"/>
      </w:pPr>
      <w:r>
        <w:rPr/>
        <w:br w:type="column"/>
      </w:r>
      <w:r>
        <w:rPr/>
        <w:t>(A.20b)</w:t>
      </w:r>
    </w:p>
    <w:p>
      <w:pPr>
        <w:spacing w:after="0" w:line="250" w:lineRule="exact"/>
        <w:sectPr>
          <w:type w:val="continuous"/>
          <w:pgSz w:w="11910" w:h="16840"/>
          <w:pgMar w:top="580" w:bottom="280" w:left="1240" w:right="1300"/>
          <w:cols w:num="3" w:equalWidth="0">
            <w:col w:w="585" w:space="1722"/>
            <w:col w:w="1821" w:space="3504"/>
            <w:col w:w="1738"/>
          </w:cols>
        </w:sectPr>
      </w:pPr>
    </w:p>
    <w:p>
      <w:pPr>
        <w:pStyle w:val="BodyText"/>
        <w:spacing w:line="312" w:lineRule="auto"/>
        <w:ind w:left="177"/>
      </w:pPr>
      <w:r>
        <w:rPr/>
        <w:t>but these are likely to be rather wide, especially for large </w:t>
      </w:r>
      <w:r>
        <w:rPr>
          <w:i/>
        </w:rPr>
        <w:t>m</w:t>
      </w:r>
      <w:r>
        <w:rPr/>
        <w:t>, in which case second-order linear bounds (Ditlevsen bounds) may be needed. These are given by</w:t>
      </w:r>
    </w:p>
    <w:p>
      <w:pPr>
        <w:spacing w:after="0" w:line="312" w:lineRule="auto"/>
        <w:sectPr>
          <w:type w:val="continuous"/>
          <w:pgSz w:w="11910" w:h="16840"/>
          <w:pgMar w:top="580" w:bottom="280" w:left="1240" w:right="1300"/>
        </w:sectPr>
      </w:pPr>
    </w:p>
    <w:p>
      <w:pPr>
        <w:tabs>
          <w:tab w:pos="1817" w:val="left" w:leader="none"/>
        </w:tabs>
        <w:spacing w:line="98" w:lineRule="exact" w:before="95"/>
        <w:ind w:left="1170" w:right="0" w:firstLine="0"/>
        <w:jc w:val="left"/>
        <w:rPr>
          <w:rFonts w:ascii="Arial" w:hAnsi="Arial"/>
          <w:sz w:val="24"/>
        </w:rPr>
      </w:pPr>
      <w:r>
        <w:rPr>
          <w:i/>
          <w:w w:val="90"/>
          <w:position w:val="9"/>
          <w:sz w:val="14"/>
        </w:rPr>
        <w:t>m</w:t>
        <w:tab/>
      </w:r>
      <w:r>
        <w:rPr>
          <w:rFonts w:ascii="Arial" w:hAnsi="Arial"/>
          <w:spacing w:val="-39"/>
          <w:w w:val="60"/>
          <w:position w:val="2"/>
          <w:sz w:val="24"/>
        </w:rPr>
        <w:t>⎧</w:t>
      </w:r>
      <w:r>
        <w:rPr>
          <w:rFonts w:ascii="Arial" w:hAnsi="Arial"/>
          <w:spacing w:val="-39"/>
          <w:w w:val="60"/>
          <w:sz w:val="24"/>
        </w:rPr>
        <w:t>⎡</w:t>
      </w:r>
    </w:p>
    <w:p>
      <w:pPr>
        <w:tabs>
          <w:tab w:pos="2227" w:val="left" w:leader="none"/>
        </w:tabs>
        <w:spacing w:line="102" w:lineRule="exact" w:before="92"/>
        <w:ind w:left="849" w:right="0" w:firstLine="0"/>
        <w:jc w:val="left"/>
        <w:rPr>
          <w:rFonts w:ascii="Arial" w:hAnsi="Arial"/>
          <w:sz w:val="24"/>
        </w:rPr>
      </w:pPr>
      <w:r>
        <w:rPr/>
        <w:br w:type="column"/>
      </w:r>
      <w:r>
        <w:rPr>
          <w:i/>
          <w:spacing w:val="2"/>
          <w:w w:val="90"/>
          <w:sz w:val="14"/>
        </w:rPr>
        <w:t>j</w:t>
      </w:r>
      <w:r>
        <w:rPr>
          <w:rFonts w:ascii="Arial" w:hAnsi="Arial"/>
          <w:spacing w:val="2"/>
          <w:w w:val="90"/>
          <w:sz w:val="14"/>
        </w:rPr>
        <w:t>−</w:t>
      </w:r>
      <w:r>
        <w:rPr>
          <w:i/>
          <w:spacing w:val="2"/>
          <w:w w:val="90"/>
          <w:sz w:val="14"/>
        </w:rPr>
        <w:t>1</w:t>
        <w:tab/>
      </w:r>
      <w:r>
        <w:rPr>
          <w:rFonts w:ascii="Arial" w:hAnsi="Arial"/>
          <w:w w:val="80"/>
          <w:position w:val="-8"/>
          <w:sz w:val="24"/>
        </w:rPr>
        <w:t>⎤</w:t>
      </w:r>
      <w:r>
        <w:rPr>
          <w:rFonts w:ascii="Arial" w:hAnsi="Arial"/>
          <w:spacing w:val="7"/>
          <w:w w:val="80"/>
          <w:position w:val="-8"/>
          <w:sz w:val="24"/>
        </w:rPr>
        <w:t> </w:t>
      </w:r>
      <w:r>
        <w:rPr>
          <w:rFonts w:ascii="Arial" w:hAnsi="Arial"/>
          <w:spacing w:val="-40"/>
          <w:w w:val="90"/>
          <w:position w:val="-6"/>
          <w:sz w:val="24"/>
        </w:rPr>
        <w:t>⎫</w:t>
      </w:r>
    </w:p>
    <w:p>
      <w:pPr>
        <w:pStyle w:val="BodyText"/>
        <w:spacing w:line="119" w:lineRule="exact" w:before="74"/>
        <w:ind w:left="1170"/>
      </w:pPr>
      <w:r>
        <w:rPr/>
        <w:br w:type="column"/>
      </w:r>
      <w:r>
        <w:rPr/>
        <w:t>(C.16b)</w:t>
      </w:r>
    </w:p>
    <w:p>
      <w:pPr>
        <w:spacing w:after="0" w:line="119" w:lineRule="exact"/>
        <w:sectPr>
          <w:pgSz w:w="11910" w:h="16840"/>
          <w:pgMar w:header="0" w:footer="788" w:top="1380" w:bottom="980" w:left="1240" w:right="1300"/>
          <w:cols w:num="3" w:equalWidth="0">
            <w:col w:w="2033" w:space="40"/>
            <w:col w:w="2660" w:space="2075"/>
            <w:col w:w="2562"/>
          </w:cols>
        </w:sectPr>
      </w:pPr>
    </w:p>
    <w:p>
      <w:pPr>
        <w:spacing w:line="277" w:lineRule="exact" w:before="29"/>
        <w:ind w:left="221" w:right="0" w:firstLine="0"/>
        <w:jc w:val="left"/>
        <w:rPr>
          <w:rFonts w:ascii="Arial" w:hAnsi="Arial"/>
          <w:sz w:val="24"/>
        </w:rPr>
      </w:pPr>
      <w:r>
        <w:rPr>
          <w:i/>
          <w:spacing w:val="5"/>
          <w:sz w:val="24"/>
        </w:rPr>
        <w:t>P[ </w:t>
      </w:r>
      <w:r>
        <w:rPr>
          <w:i/>
          <w:spacing w:val="-9"/>
          <w:sz w:val="24"/>
        </w:rPr>
        <w:t>F</w:t>
      </w:r>
      <w:r>
        <w:rPr>
          <w:i/>
          <w:spacing w:val="-9"/>
          <w:position w:val="-5"/>
          <w:sz w:val="14"/>
        </w:rPr>
        <w:t>1 </w:t>
      </w:r>
      <w:r>
        <w:rPr>
          <w:i/>
          <w:sz w:val="24"/>
        </w:rPr>
        <w:t>] </w:t>
      </w:r>
      <w:r>
        <w:rPr>
          <w:rFonts w:ascii="Arial" w:hAnsi="Arial"/>
          <w:sz w:val="24"/>
        </w:rPr>
        <w:t>+ </w:t>
      </w:r>
      <w:r>
        <w:rPr>
          <w:rFonts w:ascii="Arial" w:hAnsi="Arial"/>
          <w:position w:val="-5"/>
          <w:sz w:val="36"/>
        </w:rPr>
        <w:t>∑</w:t>
      </w:r>
      <w:r>
        <w:rPr>
          <w:rFonts w:ascii="Arial" w:hAnsi="Arial"/>
          <w:spacing w:val="-72"/>
          <w:position w:val="-5"/>
          <w:sz w:val="36"/>
        </w:rPr>
        <w:t> </w:t>
      </w:r>
      <w:r>
        <w:rPr>
          <w:i/>
          <w:spacing w:val="1"/>
          <w:sz w:val="24"/>
        </w:rPr>
        <w:t>Max</w:t>
      </w:r>
      <w:r>
        <w:rPr>
          <w:rFonts w:ascii="Arial" w:hAnsi="Arial"/>
          <w:spacing w:val="1"/>
          <w:position w:val="-3"/>
          <w:sz w:val="24"/>
        </w:rPr>
        <w:t>⎨</w:t>
      </w:r>
      <w:r>
        <w:rPr>
          <w:rFonts w:ascii="Arial" w:hAnsi="Arial"/>
          <w:spacing w:val="1"/>
          <w:position w:val="-6"/>
          <w:sz w:val="24"/>
        </w:rPr>
        <w:t>⎢</w:t>
      </w:r>
      <w:r>
        <w:rPr>
          <w:i/>
          <w:spacing w:val="1"/>
          <w:sz w:val="24"/>
        </w:rPr>
        <w:t>P(</w:t>
      </w:r>
      <w:r>
        <w:rPr>
          <w:i/>
          <w:spacing w:val="0"/>
          <w:sz w:val="24"/>
        </w:rPr>
        <w:t> </w:t>
      </w:r>
      <w:r>
        <w:rPr>
          <w:i/>
          <w:spacing w:val="6"/>
          <w:sz w:val="24"/>
        </w:rPr>
        <w:t>F</w:t>
      </w:r>
      <w:r>
        <w:rPr>
          <w:i/>
          <w:spacing w:val="6"/>
          <w:position w:val="-5"/>
          <w:sz w:val="14"/>
        </w:rPr>
        <w:t>j</w:t>
      </w:r>
      <w:r>
        <w:rPr>
          <w:i/>
          <w:spacing w:val="5"/>
          <w:position w:val="-5"/>
          <w:sz w:val="14"/>
        </w:rPr>
        <w:t> </w:t>
      </w:r>
      <w:r>
        <w:rPr>
          <w:i/>
          <w:sz w:val="24"/>
        </w:rPr>
        <w:t>) </w:t>
      </w:r>
      <w:r>
        <w:rPr>
          <w:rFonts w:ascii="Arial" w:hAnsi="Arial"/>
          <w:spacing w:val="12"/>
          <w:sz w:val="24"/>
        </w:rPr>
        <w:t>−</w:t>
      </w:r>
      <w:r>
        <w:rPr>
          <w:rFonts w:ascii="Arial" w:hAnsi="Arial"/>
          <w:spacing w:val="12"/>
          <w:position w:val="-5"/>
          <w:sz w:val="36"/>
        </w:rPr>
        <w:t>∑</w:t>
      </w:r>
      <w:r>
        <w:rPr>
          <w:rFonts w:ascii="Arial" w:hAnsi="Arial"/>
          <w:spacing w:val="-69"/>
          <w:position w:val="-5"/>
          <w:sz w:val="36"/>
        </w:rPr>
        <w:t> </w:t>
      </w:r>
      <w:r>
        <w:rPr>
          <w:i/>
          <w:sz w:val="24"/>
        </w:rPr>
        <w:t>P( </w:t>
      </w:r>
      <w:r>
        <w:rPr>
          <w:i/>
          <w:spacing w:val="6"/>
          <w:sz w:val="24"/>
        </w:rPr>
        <w:t>F</w:t>
      </w:r>
      <w:r>
        <w:rPr>
          <w:i/>
          <w:spacing w:val="6"/>
          <w:position w:val="-5"/>
          <w:sz w:val="14"/>
        </w:rPr>
        <w:t>j</w:t>
      </w:r>
      <w:r>
        <w:rPr>
          <w:i/>
          <w:spacing w:val="5"/>
          <w:position w:val="-5"/>
          <w:sz w:val="14"/>
        </w:rPr>
        <w:t> </w:t>
      </w:r>
      <w:r>
        <w:rPr>
          <w:rFonts w:ascii="Arial" w:hAnsi="Arial"/>
          <w:sz w:val="24"/>
        </w:rPr>
        <w:t>∩ </w:t>
      </w:r>
      <w:r>
        <w:rPr>
          <w:i/>
          <w:spacing w:val="-5"/>
          <w:sz w:val="24"/>
        </w:rPr>
        <w:t>F</w:t>
      </w:r>
      <w:r>
        <w:rPr>
          <w:i/>
          <w:spacing w:val="-5"/>
          <w:position w:val="-5"/>
          <w:sz w:val="14"/>
        </w:rPr>
        <w:t>k </w:t>
      </w:r>
      <w:r>
        <w:rPr>
          <w:i/>
          <w:sz w:val="24"/>
        </w:rPr>
        <w:t>)</w:t>
      </w:r>
      <w:r>
        <w:rPr>
          <w:rFonts w:ascii="Arial" w:hAnsi="Arial"/>
          <w:position w:val="-6"/>
          <w:sz w:val="24"/>
        </w:rPr>
        <w:t>⎥</w:t>
      </w:r>
      <w:r>
        <w:rPr>
          <w:i/>
          <w:sz w:val="24"/>
        </w:rPr>
        <w:t>,0</w:t>
      </w:r>
      <w:r>
        <w:rPr>
          <w:rFonts w:ascii="Arial" w:hAnsi="Arial"/>
          <w:position w:val="-3"/>
          <w:sz w:val="24"/>
        </w:rPr>
        <w:t>⎬ </w:t>
      </w:r>
      <w:r>
        <w:rPr>
          <w:rFonts w:ascii="Arial" w:hAnsi="Arial"/>
          <w:sz w:val="24"/>
        </w:rPr>
        <w:t>≤ </w:t>
      </w:r>
      <w:r>
        <w:rPr>
          <w:i/>
          <w:sz w:val="24"/>
        </w:rPr>
        <w:t>P</w:t>
      </w:r>
      <w:r>
        <w:rPr>
          <w:i/>
          <w:position w:val="-5"/>
          <w:sz w:val="14"/>
        </w:rPr>
        <w:t>fsys </w:t>
      </w:r>
      <w:r>
        <w:rPr>
          <w:rFonts w:ascii="Arial" w:hAnsi="Arial"/>
          <w:sz w:val="24"/>
        </w:rPr>
        <w:t>≤</w:t>
      </w:r>
    </w:p>
    <w:p>
      <w:pPr>
        <w:spacing w:after="0" w:line="277" w:lineRule="exact"/>
        <w:jc w:val="left"/>
        <w:rPr>
          <w:rFonts w:ascii="Arial" w:hAnsi="Arial"/>
          <w:sz w:val="24"/>
        </w:rPr>
        <w:sectPr>
          <w:type w:val="continuous"/>
          <w:pgSz w:w="11910" w:h="16840"/>
          <w:pgMar w:top="580" w:bottom="280" w:left="1240" w:right="1300"/>
        </w:sectPr>
      </w:pPr>
    </w:p>
    <w:p>
      <w:pPr>
        <w:tabs>
          <w:tab w:pos="1611" w:val="left" w:leader="none"/>
        </w:tabs>
        <w:spacing w:before="16"/>
        <w:ind w:left="926" w:right="0" w:firstLine="0"/>
        <w:jc w:val="center"/>
        <w:rPr>
          <w:rFonts w:ascii="Arial" w:hAnsi="Arial"/>
          <w:sz w:val="24"/>
        </w:rPr>
      </w:pPr>
      <w:r>
        <w:rPr/>
        <w:pict>
          <v:shape style="position:absolute;margin-left:120.900002pt;margin-top:17.652704pt;width:5.05pt;height:7.75pt;mso-position-horizontal-relative:page;mso-position-vertical-relative:paragraph;z-index:-57256" type="#_x0000_t202" filled="false" stroked="false">
            <v:textbox inset="0,0,0,0">
              <w:txbxContent>
                <w:p>
                  <w:pPr>
                    <w:spacing w:line="155" w:lineRule="exact" w:before="0"/>
                    <w:ind w:left="0" w:right="0" w:firstLine="0"/>
                    <w:jc w:val="left"/>
                    <w:rPr>
                      <w:i/>
                      <w:sz w:val="14"/>
                    </w:rPr>
                  </w:pPr>
                  <w:r>
                    <w:rPr>
                      <w:i/>
                      <w:w w:val="99"/>
                      <w:sz w:val="14"/>
                    </w:rPr>
                    <w:t>m</w:t>
                  </w:r>
                </w:p>
              </w:txbxContent>
            </v:textbox>
            <w10:wrap type="none"/>
          </v:shape>
        </w:pict>
      </w:r>
      <w:r>
        <w:rPr/>
        <w:pict>
          <v:shape style="position:absolute;margin-left:290.639435pt;margin-top:1.018392pt;width:5.95pt;height:14.7pt;mso-position-horizontal-relative:page;mso-position-vertical-relative:paragraph;z-index:2800" type="#_x0000_t202" filled="false" stroked="false">
            <v:textbox inset="0,0,0,0">
              <w:txbxContent>
                <w:p>
                  <w:pPr>
                    <w:pStyle w:val="BodyText"/>
                    <w:spacing w:before="16"/>
                    <w:rPr>
                      <w:rFonts w:ascii="Arial" w:hAnsi="Arial"/>
                    </w:rPr>
                  </w:pPr>
                  <w:r>
                    <w:rPr>
                      <w:rFonts w:ascii="Arial" w:hAnsi="Arial"/>
                      <w:w w:val="65"/>
                    </w:rPr>
                    <w:t>⎭</w:t>
                  </w:r>
                </w:p>
              </w:txbxContent>
            </v:textbox>
            <w10:wrap type="none"/>
          </v:shape>
        </w:pict>
      </w:r>
      <w:r>
        <w:rPr>
          <w:i/>
          <w:spacing w:val="5"/>
          <w:w w:val="90"/>
          <w:position w:val="1"/>
          <w:sz w:val="14"/>
        </w:rPr>
        <w:t>j</w:t>
      </w:r>
      <w:r>
        <w:rPr>
          <w:rFonts w:ascii="Arial" w:hAnsi="Arial"/>
          <w:spacing w:val="5"/>
          <w:w w:val="90"/>
          <w:position w:val="1"/>
          <w:sz w:val="14"/>
        </w:rPr>
        <w:t>=</w:t>
      </w:r>
      <w:r>
        <w:rPr>
          <w:i/>
          <w:spacing w:val="5"/>
          <w:w w:val="90"/>
          <w:position w:val="1"/>
          <w:sz w:val="14"/>
        </w:rPr>
        <w:t>2</w:t>
        <w:tab/>
      </w:r>
      <w:r>
        <w:rPr>
          <w:rFonts w:ascii="Arial" w:hAnsi="Arial"/>
          <w:w w:val="80"/>
          <w:position w:val="-1"/>
          <w:sz w:val="24"/>
        </w:rPr>
        <w:t>⎩</w:t>
      </w:r>
      <w:r>
        <w:rPr>
          <w:rFonts w:ascii="Arial" w:hAnsi="Arial"/>
          <w:w w:val="80"/>
          <w:sz w:val="24"/>
        </w:rPr>
        <w:t>⎣</w:t>
      </w:r>
    </w:p>
    <w:p>
      <w:pPr>
        <w:tabs>
          <w:tab w:pos="2106" w:val="left" w:leader="none"/>
        </w:tabs>
        <w:spacing w:line="74" w:lineRule="exact" w:before="121"/>
        <w:ind w:left="921" w:right="0" w:firstLine="0"/>
        <w:jc w:val="center"/>
        <w:rPr>
          <w:rFonts w:ascii="Arial" w:hAnsi="Arial"/>
          <w:sz w:val="24"/>
        </w:rPr>
      </w:pPr>
      <w:r>
        <w:rPr/>
        <w:pict>
          <v:shape style="position:absolute;margin-left:131.039993pt;margin-top:-7.897542pt;width:5.55pt;height:34.4pt;mso-position-horizontal-relative:page;mso-position-vertical-relative:paragraph;z-index:-57184" type="#_x0000_t202" filled="false" stroked="false">
            <v:textbox inset="0,0,0,0">
              <w:txbxContent>
                <w:p>
                  <w:pPr>
                    <w:spacing w:before="39"/>
                    <w:ind w:left="0" w:right="0" w:firstLine="0"/>
                    <w:jc w:val="left"/>
                    <w:rPr>
                      <w:rFonts w:ascii="Arial"/>
                      <w:sz w:val="56"/>
                    </w:rPr>
                  </w:pPr>
                  <w:r>
                    <w:rPr>
                      <w:rFonts w:ascii="Arial"/>
                      <w:w w:val="59"/>
                      <w:sz w:val="56"/>
                    </w:rPr>
                    <w:t>{</w:t>
                  </w:r>
                </w:p>
              </w:txbxContent>
            </v:textbox>
            <w10:wrap type="none"/>
          </v:shape>
        </w:pict>
      </w:r>
      <w:r>
        <w:rPr>
          <w:rFonts w:ascii="Arial" w:hAnsi="Arial"/>
          <w:sz w:val="24"/>
        </w:rPr>
        <w:t>+</w:t>
      </w:r>
      <w:r>
        <w:rPr>
          <w:rFonts w:ascii="Arial" w:hAnsi="Arial"/>
          <w:spacing w:val="-38"/>
          <w:sz w:val="24"/>
        </w:rPr>
        <w:t> </w:t>
      </w:r>
      <w:r>
        <w:rPr>
          <w:rFonts w:ascii="Arial" w:hAnsi="Arial"/>
          <w:position w:val="-4"/>
          <w:sz w:val="36"/>
        </w:rPr>
        <w:t>∑</w:t>
        <w:tab/>
      </w:r>
      <w:r>
        <w:rPr>
          <w:rFonts w:ascii="Arial" w:hAnsi="Arial"/>
          <w:w w:val="90"/>
          <w:sz w:val="24"/>
        </w:rPr>
        <w:t>−</w:t>
      </w:r>
    </w:p>
    <w:p>
      <w:pPr>
        <w:tabs>
          <w:tab w:pos="2020" w:val="left" w:leader="none"/>
        </w:tabs>
        <w:spacing w:line="228" w:lineRule="exact" w:before="16"/>
        <w:ind w:left="615" w:right="0" w:firstLine="0"/>
        <w:jc w:val="left"/>
        <w:rPr>
          <w:rFonts w:ascii="Arial" w:hAnsi="Arial"/>
          <w:sz w:val="24"/>
        </w:rPr>
      </w:pPr>
      <w:r>
        <w:rPr/>
        <w:br w:type="column"/>
      </w:r>
      <w:r>
        <w:rPr>
          <w:i/>
          <w:w w:val="95"/>
          <w:position w:val="1"/>
          <w:sz w:val="14"/>
        </w:rPr>
        <w:t>k</w:t>
      </w:r>
      <w:r>
        <w:rPr>
          <w:i/>
          <w:spacing w:val="-16"/>
          <w:w w:val="95"/>
          <w:position w:val="1"/>
          <w:sz w:val="14"/>
        </w:rPr>
        <w:t> </w:t>
      </w:r>
      <w:r>
        <w:rPr>
          <w:rFonts w:ascii="Arial" w:hAnsi="Arial"/>
          <w:w w:val="95"/>
          <w:position w:val="1"/>
          <w:sz w:val="14"/>
        </w:rPr>
        <w:t>=</w:t>
      </w:r>
      <w:r>
        <w:rPr>
          <w:i/>
          <w:w w:val="95"/>
          <w:position w:val="1"/>
          <w:sz w:val="14"/>
        </w:rPr>
        <w:t>1</w:t>
        <w:tab/>
      </w:r>
      <w:r>
        <w:rPr>
          <w:rFonts w:ascii="Arial" w:hAnsi="Arial"/>
          <w:w w:val="80"/>
          <w:sz w:val="24"/>
        </w:rPr>
        <w:t>⎦</w:t>
      </w:r>
    </w:p>
    <w:p>
      <w:pPr>
        <w:tabs>
          <w:tab w:pos="1052" w:val="left" w:leader="none"/>
          <w:tab w:pos="1642" w:val="left" w:leader="none"/>
        </w:tabs>
        <w:spacing w:line="264" w:lineRule="exact" w:before="0"/>
        <w:ind w:left="435" w:right="0" w:firstLine="0"/>
        <w:jc w:val="left"/>
        <w:rPr>
          <w:rFonts w:ascii="Arial" w:hAnsi="Arial"/>
          <w:sz w:val="56"/>
        </w:rPr>
      </w:pPr>
      <w:r>
        <w:rPr>
          <w:rFonts w:ascii="Arial" w:hAnsi="Arial"/>
          <w:w w:val="95"/>
          <w:sz w:val="39"/>
        </w:rPr>
        <w:t>[</w:t>
        <w:tab/>
      </w:r>
      <w:r>
        <w:rPr>
          <w:rFonts w:ascii="Arial" w:hAnsi="Arial"/>
          <w:sz w:val="39"/>
          <w:vertAlign w:val="subscript"/>
        </w:rPr>
        <w:t>∩</w:t>
      </w:r>
      <w:r>
        <w:rPr>
          <w:rFonts w:ascii="Arial" w:hAnsi="Arial"/>
          <w:sz w:val="39"/>
          <w:vertAlign w:val="baseline"/>
        </w:rPr>
        <w:tab/>
      </w:r>
      <w:r>
        <w:rPr>
          <w:rFonts w:ascii="Arial" w:hAnsi="Arial"/>
          <w:spacing w:val="-17"/>
          <w:w w:val="95"/>
          <w:sz w:val="39"/>
          <w:vertAlign w:val="baseline"/>
        </w:rPr>
        <w:t>]</w:t>
      </w:r>
      <w:r>
        <w:rPr>
          <w:rFonts w:ascii="Arial" w:hAnsi="Arial"/>
          <w:spacing w:val="-17"/>
          <w:w w:val="95"/>
          <w:sz w:val="56"/>
          <w:vertAlign w:val="baseline"/>
        </w:rPr>
        <w:t>}</w:t>
      </w:r>
    </w:p>
    <w:p>
      <w:pPr>
        <w:pStyle w:val="BodyText"/>
        <w:spacing w:before="8"/>
        <w:rPr>
          <w:rFonts w:ascii="Arial"/>
          <w:sz w:val="10"/>
        </w:rPr>
      </w:pPr>
      <w:r>
        <w:rPr/>
        <w:pict>
          <v:shape style="position:absolute;margin-left:222.60025pt;margin-top:7.385025pt;width:1.95pt;height:7.75pt;mso-position-horizontal-relative:page;mso-position-vertical-relative:paragraph;z-index:2536;mso-wrap-distance-left:0;mso-wrap-distance-right:0" type="#_x0000_t202" filled="false" stroked="false">
            <v:textbox inset="0,0,0,0">
              <w:txbxContent>
                <w:p>
                  <w:pPr>
                    <w:spacing w:line="155" w:lineRule="exact" w:before="0"/>
                    <w:ind w:left="0" w:right="0" w:firstLine="0"/>
                    <w:jc w:val="left"/>
                    <w:rPr>
                      <w:i/>
                      <w:sz w:val="14"/>
                    </w:rPr>
                  </w:pPr>
                  <w:r>
                    <w:rPr>
                      <w:i/>
                      <w:w w:val="99"/>
                      <w:sz w:val="14"/>
                    </w:rPr>
                    <w:t>j</w:t>
                  </w:r>
                </w:p>
              </w:txbxContent>
            </v:textbox>
            <w10:wrap type="topAndBottom"/>
          </v:shape>
        </w:pict>
      </w:r>
    </w:p>
    <w:p>
      <w:pPr>
        <w:spacing w:after="0"/>
        <w:rPr>
          <w:rFonts w:ascii="Arial"/>
          <w:sz w:val="10"/>
        </w:rPr>
        <w:sectPr>
          <w:type w:val="continuous"/>
          <w:pgSz w:w="11910" w:h="16840"/>
          <w:pgMar w:top="580" w:bottom="280" w:left="1240" w:right="1300"/>
          <w:cols w:num="2" w:equalWidth="0">
            <w:col w:w="2239" w:space="40"/>
            <w:col w:w="7091"/>
          </w:cols>
        </w:sectPr>
      </w:pPr>
    </w:p>
    <w:p>
      <w:pPr>
        <w:spacing w:line="304" w:lineRule="exact" w:before="0"/>
        <w:ind w:left="220" w:right="0" w:firstLine="0"/>
        <w:jc w:val="left"/>
        <w:rPr>
          <w:i/>
          <w:sz w:val="24"/>
        </w:rPr>
      </w:pPr>
      <w:r>
        <w:rPr>
          <w:i/>
          <w:spacing w:val="5"/>
          <w:sz w:val="24"/>
        </w:rPr>
        <w:t>P[ </w:t>
      </w:r>
      <w:r>
        <w:rPr>
          <w:i/>
          <w:spacing w:val="-8"/>
          <w:sz w:val="24"/>
        </w:rPr>
        <w:t>F</w:t>
      </w:r>
      <w:r>
        <w:rPr>
          <w:i/>
          <w:spacing w:val="-8"/>
          <w:position w:val="-5"/>
          <w:sz w:val="14"/>
        </w:rPr>
        <w:t>1 </w:t>
      </w:r>
      <w:r>
        <w:rPr>
          <w:i/>
          <w:sz w:val="24"/>
        </w:rPr>
        <w:t>]</w:t>
      </w:r>
    </w:p>
    <w:p>
      <w:pPr>
        <w:pStyle w:val="BodyText"/>
        <w:rPr>
          <w:i/>
          <w:sz w:val="16"/>
        </w:rPr>
      </w:pPr>
      <w:r>
        <w:rPr/>
        <w:br w:type="column"/>
      </w:r>
      <w:r>
        <w:rPr>
          <w:i/>
          <w:sz w:val="16"/>
        </w:rPr>
      </w:r>
    </w:p>
    <w:p>
      <w:pPr>
        <w:spacing w:before="126"/>
        <w:ind w:left="220" w:right="0" w:firstLine="0"/>
        <w:jc w:val="left"/>
        <w:rPr>
          <w:i/>
          <w:sz w:val="14"/>
        </w:rPr>
      </w:pPr>
      <w:r>
        <w:rPr>
          <w:i/>
          <w:sz w:val="14"/>
        </w:rPr>
        <w:t>j</w:t>
      </w:r>
      <w:r>
        <w:rPr>
          <w:i/>
          <w:spacing w:val="-26"/>
          <w:sz w:val="14"/>
        </w:rPr>
        <w:t> </w:t>
      </w:r>
      <w:r>
        <w:rPr>
          <w:rFonts w:ascii="Arial"/>
          <w:spacing w:val="2"/>
          <w:sz w:val="14"/>
        </w:rPr>
        <w:t>=</w:t>
      </w:r>
      <w:r>
        <w:rPr>
          <w:i/>
          <w:spacing w:val="2"/>
          <w:sz w:val="14"/>
        </w:rPr>
        <w:t>2</w:t>
      </w:r>
    </w:p>
    <w:p>
      <w:pPr>
        <w:spacing w:line="304" w:lineRule="exact" w:before="0"/>
        <w:ind w:left="59" w:right="0" w:firstLine="0"/>
        <w:jc w:val="left"/>
        <w:rPr>
          <w:i/>
          <w:sz w:val="24"/>
        </w:rPr>
      </w:pPr>
      <w:r>
        <w:rPr/>
        <w:br w:type="column"/>
      </w:r>
      <w:r>
        <w:rPr>
          <w:i/>
          <w:sz w:val="24"/>
        </w:rPr>
        <w:t>P( F</w:t>
      </w:r>
      <w:r>
        <w:rPr>
          <w:i/>
          <w:position w:val="-5"/>
          <w:sz w:val="14"/>
        </w:rPr>
        <w:t>j </w:t>
      </w:r>
      <w:r>
        <w:rPr>
          <w:i/>
          <w:sz w:val="24"/>
        </w:rPr>
        <w:t>)</w:t>
      </w:r>
    </w:p>
    <w:p>
      <w:pPr>
        <w:spacing w:line="245" w:lineRule="exact" w:before="0"/>
        <w:ind w:left="174" w:right="0" w:firstLine="0"/>
        <w:jc w:val="left"/>
        <w:rPr>
          <w:i/>
          <w:sz w:val="24"/>
        </w:rPr>
      </w:pPr>
      <w:r>
        <w:rPr/>
        <w:br w:type="column"/>
      </w:r>
      <w:r>
        <w:rPr>
          <w:i/>
          <w:sz w:val="24"/>
        </w:rPr>
        <w:t>Max P( F</w:t>
      </w:r>
    </w:p>
    <w:p>
      <w:pPr>
        <w:spacing w:line="141" w:lineRule="exact" w:before="0"/>
        <w:ind w:left="269" w:right="0" w:firstLine="0"/>
        <w:jc w:val="left"/>
        <w:rPr>
          <w:i/>
          <w:sz w:val="14"/>
        </w:rPr>
      </w:pPr>
      <w:r>
        <w:rPr>
          <w:i/>
          <w:sz w:val="14"/>
        </w:rPr>
        <w:t>k </w:t>
      </w:r>
      <w:r>
        <w:rPr>
          <w:rFonts w:ascii="Arial"/>
          <w:sz w:val="14"/>
        </w:rPr>
        <w:t>&lt; </w:t>
      </w:r>
      <w:r>
        <w:rPr>
          <w:i/>
          <w:sz w:val="14"/>
        </w:rPr>
        <w:t>j</w:t>
      </w:r>
    </w:p>
    <w:p>
      <w:pPr>
        <w:spacing w:line="304" w:lineRule="exact" w:before="0"/>
        <w:ind w:left="220" w:right="0" w:firstLine="0"/>
        <w:jc w:val="left"/>
        <w:rPr>
          <w:i/>
          <w:sz w:val="24"/>
        </w:rPr>
      </w:pPr>
      <w:r>
        <w:rPr/>
        <w:br w:type="column"/>
      </w:r>
      <w:r>
        <w:rPr>
          <w:i/>
          <w:sz w:val="24"/>
        </w:rPr>
        <w:t>F</w:t>
      </w:r>
      <w:r>
        <w:rPr>
          <w:i/>
          <w:position w:val="-5"/>
          <w:sz w:val="14"/>
        </w:rPr>
        <w:t>k </w:t>
      </w:r>
      <w:r>
        <w:rPr>
          <w:i/>
          <w:sz w:val="24"/>
        </w:rPr>
        <w:t>)</w:t>
      </w:r>
    </w:p>
    <w:p>
      <w:pPr>
        <w:spacing w:after="0" w:line="304" w:lineRule="exact"/>
        <w:jc w:val="left"/>
        <w:rPr>
          <w:sz w:val="24"/>
        </w:rPr>
        <w:sectPr>
          <w:type w:val="continuous"/>
          <w:pgSz w:w="11910" w:h="16840"/>
          <w:pgMar w:top="580" w:bottom="280" w:left="1240" w:right="1300"/>
          <w:cols w:num="5" w:equalWidth="0">
            <w:col w:w="864" w:space="53"/>
            <w:col w:w="428" w:space="39"/>
            <w:col w:w="689" w:space="39"/>
            <w:col w:w="1124" w:space="107"/>
            <w:col w:w="6027"/>
          </w:cols>
        </w:sectPr>
      </w:pPr>
    </w:p>
    <w:p>
      <w:pPr>
        <w:pStyle w:val="BodyText"/>
        <w:spacing w:line="312" w:lineRule="auto" w:before="122"/>
        <w:ind w:left="177" w:right="111"/>
        <w:jc w:val="both"/>
      </w:pPr>
      <w:r>
        <w:rPr/>
        <w:t>The narrowness of these bounds depends in part on the ordering of the events. The optimal ordering may differ between the lower and the upper bound. In general, these bounds are much narrower than the simple first-order linear bounds given by equation (C.16a). The bisections of events may be calculated using a first-order approximation, which</w:t>
      </w:r>
      <w:r>
        <w:rPr>
          <w:spacing w:val="33"/>
        </w:rPr>
        <w:t> </w:t>
      </w:r>
      <w:r>
        <w:rPr/>
        <w:t>appears below in the presentation of results for parallel</w:t>
      </w:r>
      <w:r>
        <w:rPr>
          <w:spacing w:val="-1"/>
        </w:rPr>
        <w:t> </w:t>
      </w:r>
      <w:r>
        <w:rPr/>
        <w:t>systems.</w:t>
      </w:r>
    </w:p>
    <w:p>
      <w:pPr>
        <w:pStyle w:val="BodyText"/>
        <w:rPr>
          <w:sz w:val="26"/>
        </w:rPr>
      </w:pPr>
    </w:p>
    <w:p>
      <w:pPr>
        <w:pStyle w:val="ListParagraph"/>
        <w:numPr>
          <w:ilvl w:val="2"/>
          <w:numId w:val="24"/>
        </w:numPr>
        <w:tabs>
          <w:tab w:pos="1085" w:val="left" w:leader="none"/>
        </w:tabs>
        <w:spacing w:line="240" w:lineRule="auto" w:before="227" w:after="0"/>
        <w:ind w:left="1084" w:right="0" w:hanging="907"/>
        <w:jc w:val="both"/>
        <w:rPr>
          <w:sz w:val="24"/>
        </w:rPr>
      </w:pPr>
      <w:r>
        <w:rPr>
          <w:sz w:val="24"/>
          <w:u w:val="single"/>
        </w:rPr>
        <w:t>Parallel</w:t>
      </w:r>
      <w:r>
        <w:rPr>
          <w:spacing w:val="-1"/>
          <w:sz w:val="24"/>
          <w:u w:val="single"/>
        </w:rPr>
        <w:t> </w:t>
      </w:r>
      <w:r>
        <w:rPr>
          <w:sz w:val="24"/>
          <w:u w:val="single"/>
        </w:rPr>
        <w:t>Systems</w:t>
      </w:r>
    </w:p>
    <w:p>
      <w:pPr>
        <w:pStyle w:val="BodyText"/>
        <w:spacing w:before="4"/>
        <w:rPr>
          <w:sz w:val="20"/>
        </w:rPr>
      </w:pPr>
    </w:p>
    <w:p>
      <w:pPr>
        <w:pStyle w:val="BodyText"/>
        <w:spacing w:line="360" w:lineRule="atLeast" w:before="6"/>
        <w:ind w:left="177" w:right="191"/>
      </w:pPr>
      <w:r>
        <w:rPr/>
        <w:t>Following the same approach and notation as above, the failure probability of a parallel system with </w:t>
      </w:r>
      <w:r>
        <w:rPr>
          <w:i/>
        </w:rPr>
        <w:t>m </w:t>
      </w:r>
      <w:r>
        <w:rPr/>
        <w:t>components is given</w:t>
      </w:r>
      <w:r>
        <w:rPr>
          <w:spacing w:val="-5"/>
        </w:rPr>
        <w:t> </w:t>
      </w:r>
      <w:r>
        <w:rPr/>
        <w:t>by</w:t>
      </w:r>
    </w:p>
    <w:p>
      <w:pPr>
        <w:spacing w:after="0" w:line="360" w:lineRule="atLeast"/>
        <w:sectPr>
          <w:type w:val="continuous"/>
          <w:pgSz w:w="11910" w:h="16840"/>
          <w:pgMar w:top="580" w:bottom="280" w:left="1240" w:right="1300"/>
        </w:sectPr>
      </w:pPr>
    </w:p>
    <w:p>
      <w:pPr>
        <w:tabs>
          <w:tab w:pos="675" w:val="left" w:leader="none"/>
        </w:tabs>
        <w:spacing w:line="109" w:lineRule="exact" w:before="52"/>
        <w:ind w:left="220" w:right="0" w:firstLine="0"/>
        <w:jc w:val="left"/>
        <w:rPr>
          <w:i/>
          <w:sz w:val="24"/>
        </w:rPr>
      </w:pPr>
      <w:r>
        <w:rPr>
          <w:i/>
          <w:sz w:val="24"/>
        </w:rPr>
        <w:t>P</w:t>
        <w:tab/>
      </w:r>
      <w:r>
        <w:rPr>
          <w:rFonts w:ascii="Arial" w:hAnsi="Arial"/>
          <w:w w:val="95"/>
          <w:sz w:val="24"/>
        </w:rPr>
        <w:t>=</w:t>
      </w:r>
      <w:r>
        <w:rPr>
          <w:rFonts w:ascii="Arial" w:hAnsi="Arial"/>
          <w:spacing w:val="-29"/>
          <w:w w:val="95"/>
          <w:sz w:val="24"/>
        </w:rPr>
        <w:t> </w:t>
      </w:r>
      <w:r>
        <w:rPr>
          <w:i/>
          <w:spacing w:val="5"/>
          <w:w w:val="95"/>
          <w:sz w:val="24"/>
        </w:rPr>
        <w:t>P</w:t>
      </w:r>
      <w:r>
        <w:rPr>
          <w:rFonts w:ascii="Arial" w:hAnsi="Arial"/>
          <w:spacing w:val="5"/>
          <w:w w:val="95"/>
          <w:position w:val="12"/>
          <w:sz w:val="24"/>
        </w:rPr>
        <w:t>⎡</w:t>
      </w:r>
      <w:r>
        <w:rPr>
          <w:rFonts w:ascii="Arial" w:hAnsi="Arial"/>
          <w:spacing w:val="-35"/>
          <w:w w:val="95"/>
          <w:position w:val="12"/>
          <w:sz w:val="24"/>
        </w:rPr>
        <w:t> </w:t>
      </w:r>
      <w:r>
        <w:rPr>
          <w:i/>
          <w:w w:val="95"/>
          <w:position w:val="22"/>
          <w:sz w:val="14"/>
        </w:rPr>
        <w:t>m</w:t>
      </w:r>
      <w:r>
        <w:rPr>
          <w:i/>
          <w:spacing w:val="-17"/>
          <w:w w:val="95"/>
          <w:position w:val="22"/>
          <w:sz w:val="14"/>
        </w:rPr>
        <w:t> </w:t>
      </w:r>
      <w:r>
        <w:rPr>
          <w:spacing w:val="5"/>
          <w:w w:val="95"/>
          <w:sz w:val="24"/>
        </w:rPr>
        <w:t>(</w:t>
      </w:r>
      <w:r>
        <w:rPr>
          <w:i/>
          <w:spacing w:val="5"/>
          <w:w w:val="95"/>
          <w:sz w:val="24"/>
        </w:rPr>
        <w:t>F</w:t>
      </w:r>
      <w:r>
        <w:rPr>
          <w:i/>
          <w:spacing w:val="-10"/>
          <w:w w:val="95"/>
          <w:sz w:val="24"/>
        </w:rPr>
        <w:t> </w:t>
      </w:r>
      <w:r>
        <w:rPr>
          <w:spacing w:val="1"/>
          <w:w w:val="95"/>
          <w:sz w:val="24"/>
        </w:rPr>
        <w:t>)</w:t>
      </w:r>
      <w:r>
        <w:rPr>
          <w:rFonts w:ascii="Arial" w:hAnsi="Arial"/>
          <w:spacing w:val="1"/>
          <w:w w:val="95"/>
          <w:position w:val="12"/>
          <w:sz w:val="24"/>
        </w:rPr>
        <w:t>⎤</w:t>
      </w:r>
      <w:r>
        <w:rPr>
          <w:rFonts w:ascii="Arial" w:hAnsi="Arial"/>
          <w:spacing w:val="-31"/>
          <w:w w:val="95"/>
          <w:position w:val="12"/>
          <w:sz w:val="24"/>
        </w:rPr>
        <w:t> </w:t>
      </w:r>
      <w:r>
        <w:rPr>
          <w:rFonts w:ascii="Arial" w:hAnsi="Arial"/>
          <w:w w:val="95"/>
          <w:sz w:val="24"/>
        </w:rPr>
        <w:t>=</w:t>
      </w:r>
      <w:r>
        <w:rPr>
          <w:rFonts w:ascii="Arial" w:hAnsi="Arial"/>
          <w:spacing w:val="-29"/>
          <w:w w:val="95"/>
          <w:sz w:val="24"/>
        </w:rPr>
        <w:t> </w:t>
      </w:r>
      <w:r>
        <w:rPr>
          <w:i/>
          <w:spacing w:val="6"/>
          <w:w w:val="95"/>
          <w:sz w:val="24"/>
        </w:rPr>
        <w:t>P</w:t>
      </w:r>
      <w:r>
        <w:rPr>
          <w:rFonts w:ascii="Arial" w:hAnsi="Arial"/>
          <w:spacing w:val="6"/>
          <w:w w:val="95"/>
          <w:position w:val="12"/>
          <w:sz w:val="24"/>
        </w:rPr>
        <w:t>⎡</w:t>
      </w:r>
      <w:r>
        <w:rPr>
          <w:rFonts w:ascii="Arial" w:hAnsi="Arial"/>
          <w:spacing w:val="-35"/>
          <w:w w:val="95"/>
          <w:position w:val="12"/>
          <w:sz w:val="24"/>
        </w:rPr>
        <w:t> </w:t>
      </w:r>
      <w:r>
        <w:rPr>
          <w:i/>
          <w:w w:val="95"/>
          <w:position w:val="22"/>
          <w:sz w:val="14"/>
        </w:rPr>
        <w:t>m</w:t>
      </w:r>
      <w:r>
        <w:rPr>
          <w:i/>
          <w:spacing w:val="-18"/>
          <w:w w:val="95"/>
          <w:position w:val="22"/>
          <w:sz w:val="14"/>
        </w:rPr>
        <w:t> </w:t>
      </w:r>
      <w:r>
        <w:rPr>
          <w:spacing w:val="-20"/>
          <w:w w:val="95"/>
          <w:sz w:val="24"/>
        </w:rPr>
        <w:t>(</w:t>
      </w:r>
      <w:r>
        <w:rPr>
          <w:i/>
          <w:spacing w:val="-20"/>
          <w:w w:val="95"/>
          <w:sz w:val="24"/>
        </w:rPr>
        <w:t>M</w:t>
      </w:r>
    </w:p>
    <w:p>
      <w:pPr>
        <w:pStyle w:val="BodyText"/>
        <w:spacing w:line="104" w:lineRule="exact" w:before="58"/>
        <w:ind w:left="159"/>
        <w:rPr>
          <w:rFonts w:ascii="Arial" w:hAnsi="Arial"/>
        </w:rPr>
      </w:pPr>
      <w:r>
        <w:rPr/>
        <w:br w:type="column"/>
      </w:r>
      <w:r>
        <w:rPr>
          <w:rFonts w:ascii="Arial" w:hAnsi="Arial"/>
          <w:w w:val="85"/>
        </w:rPr>
        <w:t>≤</w:t>
      </w:r>
      <w:r>
        <w:rPr>
          <w:rFonts w:ascii="Arial" w:hAnsi="Arial"/>
          <w:spacing w:val="-20"/>
          <w:w w:val="85"/>
        </w:rPr>
        <w:t> </w:t>
      </w:r>
      <w:r>
        <w:rPr>
          <w:w w:val="85"/>
        </w:rPr>
        <w:t>0)</w:t>
      </w:r>
      <w:r>
        <w:rPr>
          <w:rFonts w:ascii="Arial" w:hAnsi="Arial"/>
          <w:w w:val="85"/>
          <w:position w:val="12"/>
        </w:rPr>
        <w:t>⎤</w:t>
      </w:r>
    </w:p>
    <w:p>
      <w:pPr>
        <w:pStyle w:val="BodyText"/>
        <w:spacing w:line="162" w:lineRule="exact"/>
        <w:ind w:left="220"/>
      </w:pPr>
      <w:r>
        <w:rPr/>
        <w:br w:type="column"/>
      </w:r>
      <w:r>
        <w:rPr/>
        <w:t>(C.17)</w:t>
      </w:r>
    </w:p>
    <w:p>
      <w:pPr>
        <w:spacing w:after="0" w:line="162" w:lineRule="exact"/>
        <w:sectPr>
          <w:type w:val="continuous"/>
          <w:pgSz w:w="11910" w:h="16840"/>
          <w:pgMar w:top="580" w:bottom="280" w:left="1240" w:right="1300"/>
          <w:cols w:num="3" w:equalWidth="0">
            <w:col w:w="2900" w:space="40"/>
            <w:col w:w="689" w:space="4129"/>
            <w:col w:w="1612"/>
          </w:cols>
        </w:sectPr>
      </w:pPr>
    </w:p>
    <w:p>
      <w:pPr>
        <w:pStyle w:val="BodyText"/>
        <w:spacing w:before="9"/>
        <w:rPr>
          <w:sz w:val="14"/>
        </w:rPr>
      </w:pPr>
    </w:p>
    <w:p>
      <w:pPr>
        <w:spacing w:before="1"/>
        <w:ind w:left="366" w:right="0" w:firstLine="0"/>
        <w:jc w:val="left"/>
        <w:rPr>
          <w:i/>
          <w:sz w:val="14"/>
        </w:rPr>
      </w:pPr>
      <w:r>
        <w:rPr/>
        <w:pict>
          <v:shape style="position:absolute;margin-left:113.941559pt;margin-top:-3.211769pt;width:4.650pt;height:19.8pt;mso-position-horizontal-relative:page;mso-position-vertical-relative:paragraph;z-index:2728" type="#_x0000_t202" filled="false" stroked="false">
            <v:textbox inset="0,0,0,0">
              <w:txbxContent>
                <w:p>
                  <w:pPr>
                    <w:pStyle w:val="BodyText"/>
                    <w:spacing w:before="16"/>
                    <w:rPr>
                      <w:rFonts w:ascii="Arial" w:hAnsi="Arial"/>
                    </w:rPr>
                  </w:pPr>
                  <w:r>
                    <w:rPr>
                      <w:rFonts w:ascii="Arial" w:hAnsi="Arial"/>
                      <w:spacing w:val="-93"/>
                      <w:w w:val="51"/>
                    </w:rPr>
                    <w:t>⎢</w:t>
                  </w:r>
                  <w:r>
                    <w:rPr>
                      <w:rFonts w:ascii="Arial" w:hAnsi="Arial"/>
                      <w:w w:val="51"/>
                      <w:position w:val="-9"/>
                    </w:rPr>
                    <w:t>⎣</w:t>
                  </w:r>
                </w:p>
              </w:txbxContent>
            </v:textbox>
            <w10:wrap type="none"/>
          </v:shape>
        </w:pict>
      </w:r>
      <w:r>
        <w:rPr/>
        <w:pict>
          <v:shape style="position:absolute;margin-left:177.000656pt;margin-top:-3.211769pt;width:4.650pt;height:19.8pt;mso-position-horizontal-relative:page;mso-position-vertical-relative:paragraph;z-index:2752" type="#_x0000_t202" filled="false" stroked="false">
            <v:textbox inset="0,0,0,0">
              <w:txbxContent>
                <w:p>
                  <w:pPr>
                    <w:pStyle w:val="BodyText"/>
                    <w:spacing w:before="16"/>
                    <w:rPr>
                      <w:rFonts w:ascii="Arial" w:hAnsi="Arial"/>
                    </w:rPr>
                  </w:pPr>
                  <w:r>
                    <w:rPr>
                      <w:rFonts w:ascii="Arial" w:hAnsi="Arial"/>
                      <w:spacing w:val="-93"/>
                      <w:w w:val="51"/>
                    </w:rPr>
                    <w:t>⎢</w:t>
                  </w:r>
                  <w:r>
                    <w:rPr>
                      <w:rFonts w:ascii="Arial" w:hAnsi="Arial"/>
                      <w:w w:val="51"/>
                      <w:position w:val="-9"/>
                    </w:rPr>
                    <w:t>⎣</w:t>
                  </w:r>
                </w:p>
              </w:txbxContent>
            </v:textbox>
            <w10:wrap type="none"/>
          </v:shape>
        </w:pict>
      </w:r>
      <w:r>
        <w:rPr>
          <w:i/>
          <w:sz w:val="14"/>
        </w:rPr>
        <w:t>fsys</w:t>
      </w:r>
    </w:p>
    <w:p>
      <w:pPr>
        <w:spacing w:line="254" w:lineRule="exact" w:before="16"/>
        <w:ind w:left="366" w:right="0" w:firstLine="0"/>
        <w:jc w:val="left"/>
        <w:rPr>
          <w:rFonts w:ascii="Arial" w:hAnsi="Arial"/>
          <w:sz w:val="24"/>
        </w:rPr>
      </w:pPr>
      <w:r>
        <w:rPr/>
        <w:br w:type="column"/>
      </w:r>
      <w:r>
        <w:rPr>
          <w:rFonts w:ascii="Arial" w:hAnsi="Arial"/>
          <w:w w:val="105"/>
          <w:sz w:val="24"/>
        </w:rPr>
        <w:t>∩</w:t>
      </w:r>
    </w:p>
    <w:p>
      <w:pPr>
        <w:spacing w:line="140" w:lineRule="exact" w:before="0"/>
        <w:ind w:left="381" w:right="0" w:firstLine="0"/>
        <w:jc w:val="left"/>
        <w:rPr>
          <w:sz w:val="14"/>
        </w:rPr>
      </w:pPr>
      <w:r>
        <w:rPr>
          <w:i/>
          <w:sz w:val="14"/>
        </w:rPr>
        <w:t>j</w:t>
      </w:r>
      <w:r>
        <w:rPr>
          <w:i/>
          <w:spacing w:val="-28"/>
          <w:sz w:val="14"/>
        </w:rPr>
        <w:t> </w:t>
      </w:r>
      <w:r>
        <w:rPr>
          <w:rFonts w:ascii="Arial"/>
          <w:spacing w:val="-4"/>
          <w:sz w:val="14"/>
        </w:rPr>
        <w:t>=</w:t>
      </w:r>
      <w:r>
        <w:rPr>
          <w:spacing w:val="-4"/>
          <w:sz w:val="14"/>
        </w:rPr>
        <w:t>1</w:t>
      </w:r>
    </w:p>
    <w:p>
      <w:pPr>
        <w:spacing w:before="126"/>
        <w:ind w:left="211" w:right="0" w:firstLine="0"/>
        <w:jc w:val="left"/>
        <w:rPr>
          <w:rFonts w:ascii="Arial" w:hAnsi="Arial"/>
          <w:sz w:val="24"/>
        </w:rPr>
      </w:pPr>
      <w:r>
        <w:rPr/>
        <w:br w:type="column"/>
      </w:r>
      <w:r>
        <w:rPr>
          <w:i/>
          <w:w w:val="65"/>
          <w:sz w:val="14"/>
        </w:rPr>
        <w:t>j </w:t>
      </w:r>
      <w:r>
        <w:rPr>
          <w:rFonts w:ascii="Arial" w:hAnsi="Arial"/>
          <w:spacing w:val="-47"/>
          <w:w w:val="65"/>
          <w:position w:val="-4"/>
          <w:sz w:val="24"/>
        </w:rPr>
        <w:t>⎥</w:t>
      </w:r>
      <w:r>
        <w:rPr>
          <w:rFonts w:ascii="Arial" w:hAnsi="Arial"/>
          <w:spacing w:val="-47"/>
          <w:w w:val="65"/>
          <w:position w:val="-14"/>
          <w:sz w:val="24"/>
        </w:rPr>
        <w:t>⎦</w:t>
      </w:r>
    </w:p>
    <w:p>
      <w:pPr>
        <w:spacing w:line="254" w:lineRule="exact" w:before="16"/>
        <w:ind w:left="366" w:right="0" w:firstLine="0"/>
        <w:jc w:val="left"/>
        <w:rPr>
          <w:rFonts w:ascii="Arial" w:hAnsi="Arial"/>
          <w:sz w:val="24"/>
        </w:rPr>
      </w:pPr>
      <w:r>
        <w:rPr/>
        <w:br w:type="column"/>
      </w:r>
      <w:r>
        <w:rPr>
          <w:rFonts w:ascii="Arial" w:hAnsi="Arial"/>
          <w:w w:val="105"/>
          <w:sz w:val="24"/>
        </w:rPr>
        <w:t>∩</w:t>
      </w:r>
    </w:p>
    <w:p>
      <w:pPr>
        <w:spacing w:line="140" w:lineRule="exact" w:before="0"/>
        <w:ind w:left="382" w:right="0" w:firstLine="0"/>
        <w:jc w:val="left"/>
        <w:rPr>
          <w:sz w:val="14"/>
        </w:rPr>
      </w:pPr>
      <w:r>
        <w:rPr>
          <w:i/>
          <w:sz w:val="14"/>
        </w:rPr>
        <w:t>j </w:t>
      </w:r>
      <w:r>
        <w:rPr>
          <w:rFonts w:ascii="Arial"/>
          <w:sz w:val="14"/>
        </w:rPr>
        <w:t>=</w:t>
      </w:r>
      <w:r>
        <w:rPr>
          <w:sz w:val="14"/>
        </w:rPr>
        <w:t>1</w:t>
      </w:r>
    </w:p>
    <w:p>
      <w:pPr>
        <w:spacing w:after="0" w:line="140" w:lineRule="exact"/>
        <w:jc w:val="left"/>
        <w:rPr>
          <w:sz w:val="14"/>
        </w:rPr>
        <w:sectPr>
          <w:type w:val="continuous"/>
          <w:pgSz w:w="11910" w:h="16840"/>
          <w:pgMar w:top="580" w:bottom="280" w:left="1240" w:right="1300"/>
          <w:cols w:num="4" w:equalWidth="0">
            <w:col w:w="617" w:space="166"/>
            <w:col w:w="574" w:space="39"/>
            <w:col w:w="511" w:space="135"/>
            <w:col w:w="7328"/>
          </w:cols>
        </w:sectPr>
      </w:pPr>
    </w:p>
    <w:p>
      <w:pPr>
        <w:pStyle w:val="BodyText"/>
        <w:spacing w:line="265" w:lineRule="exact" w:before="101"/>
        <w:ind w:left="177"/>
      </w:pPr>
      <w:r>
        <w:rPr/>
        <w:pict>
          <v:shape style="position:absolute;margin-left:210.119995pt;margin-top:-16.250448pt;width:1.95pt;height:7.75pt;mso-position-horizontal-relative:page;mso-position-vertical-relative:paragraph;z-index:2824" type="#_x0000_t202" filled="false" stroked="false">
            <v:textbox inset="0,0,0,0">
              <w:txbxContent>
                <w:p>
                  <w:pPr>
                    <w:spacing w:line="155" w:lineRule="exact" w:before="0"/>
                    <w:ind w:left="0" w:right="0" w:firstLine="0"/>
                    <w:jc w:val="left"/>
                    <w:rPr>
                      <w:i/>
                      <w:sz w:val="14"/>
                    </w:rPr>
                  </w:pPr>
                  <w:r>
                    <w:rPr>
                      <w:i/>
                      <w:w w:val="99"/>
                      <w:sz w:val="14"/>
                    </w:rPr>
                    <w:t>j</w:t>
                  </w:r>
                </w:p>
              </w:txbxContent>
            </v:textbox>
            <w10:wrap type="none"/>
          </v:shape>
        </w:pict>
      </w:r>
      <w:r>
        <w:rPr/>
        <w:pict>
          <v:shape style="position:absolute;margin-left:236.820007pt;margin-top:-19.823921pt;width:4.650pt;height:19.8pt;mso-position-horizontal-relative:page;mso-position-vertical-relative:paragraph;z-index:2848" type="#_x0000_t202" filled="false" stroked="false">
            <v:textbox inset="0,0,0,0">
              <w:txbxContent>
                <w:p>
                  <w:pPr>
                    <w:pStyle w:val="BodyText"/>
                    <w:spacing w:before="16"/>
                    <w:rPr>
                      <w:rFonts w:ascii="Arial" w:hAnsi="Arial"/>
                    </w:rPr>
                  </w:pPr>
                  <w:r>
                    <w:rPr>
                      <w:rFonts w:ascii="Arial" w:hAnsi="Arial"/>
                      <w:spacing w:val="-93"/>
                      <w:w w:val="51"/>
                    </w:rPr>
                    <w:t>⎥</w:t>
                  </w:r>
                  <w:r>
                    <w:rPr>
                      <w:rFonts w:ascii="Arial" w:hAnsi="Arial"/>
                      <w:w w:val="51"/>
                      <w:position w:val="-9"/>
                    </w:rPr>
                    <w:t>⎦</w:t>
                  </w:r>
                </w:p>
              </w:txbxContent>
            </v:textbox>
            <w10:wrap type="none"/>
          </v:shape>
        </w:pict>
      </w:r>
      <w:r>
        <w:rPr/>
        <w:t>and the corresponding first-order approximation is</w:t>
      </w:r>
    </w:p>
    <w:p>
      <w:pPr>
        <w:tabs>
          <w:tab w:pos="7978" w:val="left" w:leader="none"/>
        </w:tabs>
        <w:spacing w:line="385" w:lineRule="exact" w:before="0"/>
        <w:ind w:left="886" w:right="0" w:firstLine="0"/>
        <w:jc w:val="left"/>
        <w:rPr>
          <w:sz w:val="24"/>
        </w:rPr>
      </w:pPr>
      <w:r>
        <w:rPr/>
        <w:pict>
          <v:group style="position:absolute;margin-left:165.820496pt;margin-top:.174443pt;width:2.5pt;height:20pt;mso-position-horizontal-relative:page;mso-position-vertical-relative:paragraph;z-index:-57328" coordorigin="3316,3" coordsize="50,400">
            <v:line style="position:absolute" from="3366,13" to="3326,13" stroked="true" strokeweight=".999pt" strokecolor="#000000">
              <v:stroke dashstyle="solid"/>
            </v:line>
            <v:line style="position:absolute" from="3326,13" to="3326,393" stroked="true" strokeweight=".999pt" strokecolor="#000000">
              <v:stroke dashstyle="solid"/>
            </v:line>
            <v:line style="position:absolute" from="3326,393" to="3366,393" stroked="true" strokeweight=".999pt" strokecolor="#000000">
              <v:stroke dashstyle="solid"/>
            </v:line>
            <w10:wrap type="none"/>
          </v:group>
        </w:pict>
      </w:r>
      <w:r>
        <w:rPr/>
        <w:pict>
          <v:group style="position:absolute;margin-left:194.800507pt;margin-top:.174443pt;width:10pt;height:20pt;mso-position-horizontal-relative:page;mso-position-vertical-relative:paragraph;z-index:-57304" coordorigin="3896,3" coordsize="200,400">
            <v:line style="position:absolute" from="4046,13" to="4086,13" stroked="true" strokeweight=".999pt" strokecolor="#000000">
              <v:stroke dashstyle="solid"/>
            </v:line>
            <v:line style="position:absolute" from="4086,13" to="4086,393" stroked="true" strokeweight=".999pt" strokecolor="#000000">
              <v:stroke dashstyle="solid"/>
            </v:line>
            <v:line style="position:absolute" from="4086,393" to="4046,393" stroked="true" strokeweight=".999pt" strokecolor="#000000">
              <v:stroke dashstyle="solid"/>
            </v:line>
            <v:shape style="position:absolute;left:3906;top:53;width:141;height:21" coordorigin="3906,53" coordsize="141,21" path="m3906,73l3926,53,3947,53,4007,73,4026,73,4046,53e" filled="false" stroked="true" strokeweight=".999pt" strokecolor="#000000">
              <v:path arrowok="t"/>
              <v:stroke dashstyle="solid"/>
            </v:shape>
            <v:shape style="position:absolute;left:3906;top:113;width:141;height:21" coordorigin="3906,113" coordsize="141,21" path="m3906,133l3926,113,3947,113,4007,133,4026,133,4046,113e" filled="false" stroked="true" strokeweight=".999pt" strokecolor="#000000">
              <v:path arrowok="t"/>
              <v:stroke dashstyle="solid"/>
            </v:shape>
            <w10:wrap type="none"/>
          </v:group>
        </w:pict>
      </w:r>
      <w:r>
        <w:rPr/>
        <w:pict>
          <v:shape style="position:absolute;margin-left:179.339996pt;margin-top:1.693944pt;width:7pt;height:1pt;mso-position-horizontal-relative:page;mso-position-vertical-relative:paragraph;z-index:-57280" coordorigin="3587,34" coordsize="140,20" path="m3587,53l3606,34,3626,34,3686,53,3707,53,3726,34e" filled="false" stroked="true" strokeweight=".999pt" strokecolor="#000000">
            <v:path arrowok="t"/>
            <v:stroke dashstyle="solid"/>
            <w10:wrap type="none"/>
          </v:shape>
        </w:pict>
      </w:r>
      <w:r>
        <w:rPr>
          <w:i/>
          <w:spacing w:val="-3"/>
          <w:sz w:val="24"/>
        </w:rPr>
        <w:t>P</w:t>
      </w:r>
      <w:r>
        <w:rPr>
          <w:i/>
          <w:spacing w:val="-3"/>
          <w:sz w:val="24"/>
          <w:vertAlign w:val="subscript"/>
        </w:rPr>
        <w:t>f</w:t>
      </w:r>
      <w:r>
        <w:rPr>
          <w:i/>
          <w:spacing w:val="-3"/>
          <w:sz w:val="24"/>
          <w:vertAlign w:val="baseline"/>
        </w:rPr>
        <w:t> </w:t>
      </w:r>
      <w:r>
        <w:rPr>
          <w:i/>
          <w:sz w:val="24"/>
          <w:vertAlign w:val="subscript"/>
        </w:rPr>
        <w:t>sys</w:t>
      </w:r>
      <w:r>
        <w:rPr>
          <w:i/>
          <w:sz w:val="24"/>
          <w:vertAlign w:val="baseline"/>
        </w:rPr>
        <w:t>  </w:t>
      </w:r>
      <w:r>
        <w:rPr>
          <w:sz w:val="24"/>
          <w:vertAlign w:val="baseline"/>
        </w:rPr>
        <w:t>= </w:t>
      </w:r>
      <w:r>
        <w:rPr>
          <w:rFonts w:ascii="Arial" w:hAnsi="Arial"/>
          <w:sz w:val="24"/>
          <w:vertAlign w:val="baseline"/>
        </w:rPr>
        <w:t>Φ</w:t>
      </w:r>
      <w:r>
        <w:rPr>
          <w:sz w:val="24"/>
          <w:vertAlign w:val="subscript"/>
        </w:rPr>
        <w:t>m</w:t>
      </w:r>
      <w:r>
        <w:rPr>
          <w:sz w:val="24"/>
          <w:vertAlign w:val="baseline"/>
        </w:rPr>
        <w:t> </w:t>
      </w:r>
      <w:r>
        <w:rPr>
          <w:rFonts w:ascii="Arial" w:hAnsi="Arial"/>
          <w:sz w:val="24"/>
          <w:vertAlign w:val="baseline"/>
        </w:rPr>
        <w:t>− </w:t>
      </w:r>
      <w:r>
        <w:rPr>
          <w:rFonts w:ascii="Arial" w:hAnsi="Arial"/>
          <w:b/>
          <w:sz w:val="24"/>
          <w:vertAlign w:val="baseline"/>
        </w:rPr>
        <w:t>β</w:t>
      </w:r>
      <w:r>
        <w:rPr>
          <w:rFonts w:ascii="Arial" w:hAnsi="Arial"/>
          <w:b/>
          <w:spacing w:val="-36"/>
          <w:sz w:val="24"/>
          <w:vertAlign w:val="baseline"/>
        </w:rPr>
        <w:t> </w:t>
      </w:r>
      <w:r>
        <w:rPr>
          <w:sz w:val="24"/>
          <w:vertAlign w:val="baseline"/>
        </w:rPr>
        <w:t>;</w:t>
      </w:r>
      <w:r>
        <w:rPr>
          <w:spacing w:val="-15"/>
          <w:sz w:val="24"/>
          <w:vertAlign w:val="baseline"/>
        </w:rPr>
        <w:t> </w:t>
      </w:r>
      <w:r>
        <w:rPr>
          <w:rFonts w:ascii="Arial" w:hAnsi="Arial"/>
          <w:b/>
          <w:sz w:val="24"/>
          <w:vertAlign w:val="baseline"/>
        </w:rPr>
        <w:t>ρ</w:t>
        <w:tab/>
      </w:r>
      <w:r>
        <w:rPr>
          <w:position w:val="12"/>
          <w:sz w:val="24"/>
          <w:vertAlign w:val="baseline"/>
        </w:rPr>
        <w:t>(C.18)</w:t>
      </w:r>
    </w:p>
    <w:p>
      <w:pPr>
        <w:spacing w:line="244" w:lineRule="exact" w:before="164"/>
        <w:ind w:left="177" w:right="0" w:firstLine="0"/>
        <w:jc w:val="left"/>
        <w:rPr>
          <w:sz w:val="24"/>
        </w:rPr>
      </w:pPr>
      <w:r>
        <w:rPr>
          <w:sz w:val="24"/>
        </w:rPr>
        <w:t>S</w:t>
      </w:r>
      <w:r>
        <w:rPr>
          <w:sz w:val="22"/>
        </w:rPr>
        <w:t>imple </w:t>
      </w:r>
      <w:r>
        <w:rPr>
          <w:sz w:val="24"/>
        </w:rPr>
        <w:t>bounds are given by</w:t>
      </w:r>
    </w:p>
    <w:p>
      <w:pPr>
        <w:spacing w:after="0" w:line="244" w:lineRule="exact"/>
        <w:jc w:val="left"/>
        <w:rPr>
          <w:sz w:val="24"/>
        </w:rPr>
        <w:sectPr>
          <w:type w:val="continuous"/>
          <w:pgSz w:w="11910" w:h="16840"/>
          <w:pgMar w:top="580" w:bottom="280" w:left="1240" w:right="1300"/>
        </w:sectPr>
      </w:pPr>
    </w:p>
    <w:p>
      <w:pPr>
        <w:pStyle w:val="BodyText"/>
        <w:spacing w:line="11" w:lineRule="exact" w:before="189"/>
        <w:ind w:left="917"/>
        <w:rPr>
          <w:i/>
        </w:rPr>
      </w:pPr>
      <w:r>
        <w:rPr/>
        <w:t>0 </w:t>
      </w:r>
      <w:r>
        <w:rPr>
          <w:rFonts w:ascii="Arial" w:hAnsi="Arial"/>
        </w:rPr>
        <w:t>≤ </w:t>
      </w:r>
      <w:r>
        <w:rPr>
          <w:i/>
        </w:rPr>
        <w:t>P</w:t>
      </w:r>
    </w:p>
    <w:p>
      <w:pPr>
        <w:tabs>
          <w:tab w:pos="603" w:val="left" w:leader="none"/>
          <w:tab w:pos="1494" w:val="left" w:leader="none"/>
        </w:tabs>
        <w:spacing w:line="152" w:lineRule="exact" w:before="49"/>
        <w:ind w:left="264" w:right="0" w:firstLine="0"/>
        <w:jc w:val="left"/>
        <w:rPr>
          <w:rFonts w:ascii="Arial" w:hAnsi="Arial"/>
          <w:sz w:val="39"/>
        </w:rPr>
      </w:pPr>
      <w:r>
        <w:rPr/>
        <w:br w:type="column"/>
      </w:r>
      <w:r>
        <w:rPr>
          <w:rFonts w:ascii="Arial" w:hAnsi="Arial"/>
          <w:w w:val="95"/>
          <w:sz w:val="24"/>
        </w:rPr>
        <w:t>≤</w:t>
        <w:tab/>
      </w:r>
      <w:r>
        <w:rPr>
          <w:i/>
          <w:w w:val="95"/>
          <w:position w:val="22"/>
          <w:sz w:val="14"/>
        </w:rPr>
        <w:t>m </w:t>
      </w:r>
      <w:r>
        <w:rPr>
          <w:i/>
          <w:spacing w:val="15"/>
          <w:w w:val="95"/>
          <w:position w:val="22"/>
          <w:sz w:val="14"/>
        </w:rPr>
        <w:t> </w:t>
      </w:r>
      <w:r>
        <w:rPr>
          <w:rFonts w:ascii="Arial" w:hAnsi="Arial"/>
          <w:w w:val="95"/>
          <w:sz w:val="39"/>
        </w:rPr>
        <w:t>[</w:t>
        <w:tab/>
        <w:t>]</w:t>
      </w:r>
    </w:p>
    <w:p>
      <w:pPr>
        <w:pStyle w:val="BodyText"/>
        <w:spacing w:before="10" w:after="25"/>
        <w:rPr>
          <w:rFonts w:ascii="Arial"/>
          <w:sz w:val="10"/>
        </w:rPr>
      </w:pPr>
    </w:p>
    <w:p>
      <w:pPr>
        <w:pStyle w:val="BodyText"/>
        <w:spacing w:line="154" w:lineRule="exact"/>
        <w:ind w:left="1327"/>
        <w:rPr>
          <w:rFonts w:ascii="Arial"/>
          <w:sz w:val="15"/>
        </w:rPr>
      </w:pPr>
      <w:r>
        <w:rPr>
          <w:rFonts w:ascii="Arial"/>
          <w:position w:val="-2"/>
          <w:sz w:val="15"/>
        </w:rPr>
        <w:pict>
          <v:shape style="width:1.95pt;height:7.75pt;mso-position-horizontal-relative:char;mso-position-vertical-relative:line" type="#_x0000_t202" filled="false" stroked="false">
            <w10:anchorlock/>
            <v:textbox inset="0,0,0,0">
              <w:txbxContent>
                <w:p>
                  <w:pPr>
                    <w:spacing w:line="155" w:lineRule="exact" w:before="0"/>
                    <w:ind w:left="0" w:right="0" w:firstLine="0"/>
                    <w:jc w:val="left"/>
                    <w:rPr>
                      <w:i/>
                      <w:sz w:val="14"/>
                    </w:rPr>
                  </w:pPr>
                  <w:r>
                    <w:rPr>
                      <w:i/>
                      <w:w w:val="99"/>
                      <w:sz w:val="14"/>
                    </w:rPr>
                    <w:t>j</w:t>
                  </w:r>
                </w:p>
              </w:txbxContent>
            </v:textbox>
          </v:shape>
        </w:pict>
      </w:r>
      <w:r>
        <w:rPr>
          <w:rFonts w:ascii="Arial"/>
          <w:position w:val="-2"/>
          <w:sz w:val="15"/>
        </w:rPr>
      </w:r>
    </w:p>
    <w:p>
      <w:pPr>
        <w:pStyle w:val="BodyText"/>
        <w:spacing w:line="201" w:lineRule="exact"/>
        <w:ind w:left="917"/>
      </w:pPr>
      <w:r>
        <w:rPr/>
        <w:br w:type="column"/>
      </w:r>
      <w:r>
        <w:rPr/>
        <w:t>(C.19a)</w:t>
      </w:r>
    </w:p>
    <w:p>
      <w:pPr>
        <w:spacing w:after="0" w:line="201" w:lineRule="exact"/>
        <w:sectPr>
          <w:type w:val="continuous"/>
          <w:pgSz w:w="11910" w:h="16840"/>
          <w:pgMar w:top="580" w:bottom="280" w:left="1240" w:right="1300"/>
          <w:cols w:num="3" w:equalWidth="0">
            <w:col w:w="1444" w:space="40"/>
            <w:col w:w="1612" w:space="3965"/>
            <w:col w:w="2309"/>
          </w:cols>
        </w:sectPr>
      </w:pPr>
    </w:p>
    <w:p>
      <w:pPr>
        <w:pStyle w:val="BodyText"/>
        <w:spacing w:before="5"/>
        <w:rPr>
          <w:sz w:val="12"/>
        </w:rPr>
      </w:pPr>
    </w:p>
    <w:p>
      <w:pPr>
        <w:spacing w:before="0"/>
        <w:ind w:left="0" w:right="0" w:firstLine="0"/>
        <w:jc w:val="right"/>
        <w:rPr>
          <w:i/>
          <w:sz w:val="14"/>
        </w:rPr>
      </w:pPr>
      <w:r>
        <w:rPr>
          <w:i/>
          <w:w w:val="95"/>
          <w:sz w:val="14"/>
        </w:rPr>
        <w:t>fsys</w:t>
      </w:r>
    </w:p>
    <w:p>
      <w:pPr>
        <w:spacing w:line="246" w:lineRule="exact" w:before="0"/>
        <w:ind w:left="255" w:right="0" w:firstLine="0"/>
        <w:jc w:val="left"/>
        <w:rPr>
          <w:sz w:val="24"/>
        </w:rPr>
      </w:pPr>
      <w:r>
        <w:rPr/>
        <w:br w:type="column"/>
      </w:r>
      <w:r>
        <w:rPr>
          <w:i/>
          <w:sz w:val="24"/>
        </w:rPr>
        <w:t>Min P</w:t>
      </w:r>
      <w:r>
        <w:rPr>
          <w:sz w:val="24"/>
        </w:rPr>
        <w:t>(</w:t>
      </w:r>
      <w:r>
        <w:rPr>
          <w:i/>
          <w:sz w:val="24"/>
        </w:rPr>
        <w:t>F </w:t>
      </w:r>
      <w:r>
        <w:rPr>
          <w:sz w:val="24"/>
        </w:rPr>
        <w:t>)</w:t>
      </w:r>
    </w:p>
    <w:p>
      <w:pPr>
        <w:spacing w:line="141" w:lineRule="exact" w:before="0"/>
        <w:ind w:left="369" w:right="0" w:firstLine="0"/>
        <w:jc w:val="left"/>
        <w:rPr>
          <w:sz w:val="14"/>
        </w:rPr>
      </w:pPr>
      <w:r>
        <w:rPr>
          <w:i/>
          <w:sz w:val="14"/>
        </w:rPr>
        <w:t>j </w:t>
      </w:r>
      <w:r>
        <w:rPr>
          <w:rFonts w:ascii="Arial"/>
          <w:sz w:val="14"/>
        </w:rPr>
        <w:t>=</w:t>
      </w:r>
      <w:r>
        <w:rPr>
          <w:sz w:val="14"/>
        </w:rPr>
        <w:t>1</w:t>
      </w:r>
    </w:p>
    <w:p>
      <w:pPr>
        <w:spacing w:after="0" w:line="141" w:lineRule="exact"/>
        <w:jc w:val="left"/>
        <w:rPr>
          <w:sz w:val="14"/>
        </w:rPr>
        <w:sectPr>
          <w:type w:val="continuous"/>
          <w:pgSz w:w="11910" w:h="16840"/>
          <w:pgMar w:top="580" w:bottom="280" w:left="1240" w:right="1300"/>
          <w:cols w:num="2" w:equalWidth="0">
            <w:col w:w="1652" w:space="40"/>
            <w:col w:w="7678"/>
          </w:cols>
        </w:sectPr>
      </w:pPr>
    </w:p>
    <w:p>
      <w:pPr>
        <w:spacing w:before="128"/>
        <w:ind w:left="177" w:right="0" w:firstLine="0"/>
        <w:jc w:val="left"/>
        <w:rPr>
          <w:sz w:val="24"/>
        </w:rPr>
      </w:pPr>
      <w:r>
        <w:rPr>
          <w:sz w:val="24"/>
        </w:rPr>
        <w:t>These </w:t>
      </w:r>
      <w:r>
        <w:rPr>
          <w:sz w:val="22"/>
        </w:rPr>
        <w:t>are usually too w</w:t>
      </w:r>
      <w:r>
        <w:rPr>
          <w:sz w:val="24"/>
        </w:rPr>
        <w:t>ide for practical applications. An improved upper bound is</w:t>
      </w:r>
    </w:p>
    <w:p>
      <w:pPr>
        <w:pStyle w:val="BodyText"/>
        <w:spacing w:before="10"/>
        <w:rPr>
          <w:sz w:val="19"/>
        </w:rPr>
      </w:pPr>
    </w:p>
    <w:p>
      <w:pPr>
        <w:spacing w:after="0"/>
        <w:rPr>
          <w:sz w:val="19"/>
        </w:rPr>
        <w:sectPr>
          <w:type w:val="continuous"/>
          <w:pgSz w:w="11910" w:h="16840"/>
          <w:pgMar w:top="580" w:bottom="280" w:left="1240" w:right="1300"/>
        </w:sectPr>
      </w:pPr>
    </w:p>
    <w:p>
      <w:pPr>
        <w:tabs>
          <w:tab w:pos="1380" w:val="left" w:leader="none"/>
          <w:tab w:pos="1720" w:val="left" w:leader="none"/>
        </w:tabs>
        <w:spacing w:line="152" w:lineRule="exact" w:before="148"/>
        <w:ind w:left="929" w:right="0" w:firstLine="0"/>
        <w:jc w:val="left"/>
        <w:rPr>
          <w:rFonts w:ascii="Arial" w:hAnsi="Arial"/>
          <w:sz w:val="39"/>
        </w:rPr>
      </w:pPr>
      <w:r>
        <w:rPr>
          <w:i/>
          <w:sz w:val="24"/>
        </w:rPr>
        <w:t>P</w:t>
        <w:tab/>
      </w:r>
      <w:r>
        <w:rPr>
          <w:rFonts w:ascii="Arial" w:hAnsi="Arial"/>
          <w:sz w:val="24"/>
        </w:rPr>
        <w:t>≤</w:t>
        <w:tab/>
      </w:r>
      <w:r>
        <w:rPr>
          <w:i/>
          <w:position w:val="22"/>
          <w:sz w:val="14"/>
        </w:rPr>
        <w:t>m</w:t>
      </w:r>
      <w:r>
        <w:rPr>
          <w:i/>
          <w:spacing w:val="32"/>
          <w:position w:val="22"/>
          <w:sz w:val="14"/>
        </w:rPr>
        <w:t> </w:t>
      </w:r>
      <w:r>
        <w:rPr>
          <w:rFonts w:ascii="Arial" w:hAnsi="Arial"/>
          <w:sz w:val="39"/>
        </w:rPr>
        <w:t>[</w:t>
      </w:r>
    </w:p>
    <w:p>
      <w:pPr>
        <w:spacing w:line="152" w:lineRule="exact" w:before="148"/>
        <w:ind w:left="483" w:right="0" w:firstLine="0"/>
        <w:jc w:val="left"/>
        <w:rPr>
          <w:rFonts w:ascii="Arial" w:hAnsi="Arial"/>
          <w:sz w:val="39"/>
        </w:rPr>
      </w:pPr>
      <w:r>
        <w:rPr/>
        <w:br w:type="column"/>
      </w:r>
      <w:r>
        <w:rPr>
          <w:rFonts w:ascii="Arial" w:hAnsi="Arial"/>
          <w:sz w:val="24"/>
        </w:rPr>
        <w:t>∩ </w:t>
      </w:r>
      <w:r>
        <w:rPr>
          <w:i/>
          <w:sz w:val="24"/>
        </w:rPr>
        <w:t>F </w:t>
      </w:r>
      <w:r>
        <w:rPr>
          <w:sz w:val="24"/>
        </w:rPr>
        <w:t>)</w:t>
      </w:r>
      <w:r>
        <w:rPr>
          <w:rFonts w:ascii="Arial" w:hAnsi="Arial"/>
          <w:sz w:val="39"/>
        </w:rPr>
        <w:t>]</w:t>
      </w:r>
    </w:p>
    <w:p>
      <w:pPr>
        <w:pStyle w:val="BodyText"/>
        <w:spacing w:before="11" w:after="24"/>
        <w:rPr>
          <w:rFonts w:ascii="Arial"/>
          <w:sz w:val="10"/>
        </w:rPr>
      </w:pPr>
    </w:p>
    <w:p>
      <w:pPr>
        <w:tabs>
          <w:tab w:pos="857" w:val="left" w:leader="none"/>
        </w:tabs>
        <w:spacing w:line="154" w:lineRule="exact"/>
        <w:ind w:left="360" w:right="0" w:firstLine="0"/>
        <w:rPr>
          <w:rFonts w:ascii="Arial"/>
          <w:sz w:val="15"/>
        </w:rPr>
      </w:pPr>
      <w:r>
        <w:rPr>
          <w:rFonts w:ascii="Arial"/>
          <w:position w:val="-2"/>
          <w:sz w:val="15"/>
        </w:rPr>
        <w:pict>
          <v:shape style="width:1.95pt;height:7.75pt;mso-position-horizontal-relative:char;mso-position-vertical-relative:line" type="#_x0000_t202" filled="false" stroked="false">
            <w10:anchorlock/>
            <v:textbox inset="0,0,0,0">
              <w:txbxContent>
                <w:p>
                  <w:pPr>
                    <w:spacing w:line="155" w:lineRule="exact" w:before="0"/>
                    <w:ind w:left="0" w:right="0" w:firstLine="0"/>
                    <w:jc w:val="left"/>
                    <w:rPr>
                      <w:i/>
                      <w:sz w:val="14"/>
                    </w:rPr>
                  </w:pPr>
                  <w:r>
                    <w:rPr>
                      <w:i/>
                      <w:w w:val="99"/>
                      <w:sz w:val="14"/>
                    </w:rPr>
                    <w:t>j</w:t>
                  </w:r>
                </w:p>
              </w:txbxContent>
            </v:textbox>
          </v:shape>
        </w:pict>
      </w:r>
      <w:r>
        <w:rPr>
          <w:rFonts w:ascii="Arial"/>
          <w:position w:val="-2"/>
          <w:sz w:val="15"/>
        </w:rPr>
      </w:r>
      <w:r>
        <w:rPr>
          <w:rFonts w:ascii="Arial"/>
          <w:position w:val="-2"/>
          <w:sz w:val="15"/>
        </w:rPr>
        <w:tab/>
      </w:r>
      <w:r>
        <w:rPr>
          <w:rFonts w:ascii="Arial"/>
          <w:position w:val="-2"/>
          <w:sz w:val="15"/>
        </w:rPr>
        <w:pict>
          <v:shape style="width:3.1pt;height:7.75pt;mso-position-horizontal-relative:char;mso-position-vertical-relative:line" type="#_x0000_t202" filled="false" stroked="false">
            <w10:anchorlock/>
            <v:textbox inset="0,0,0,0">
              <w:txbxContent>
                <w:p>
                  <w:pPr>
                    <w:spacing w:line="155" w:lineRule="exact" w:before="0"/>
                    <w:ind w:left="0" w:right="0" w:firstLine="0"/>
                    <w:jc w:val="left"/>
                    <w:rPr>
                      <w:i/>
                      <w:sz w:val="14"/>
                    </w:rPr>
                  </w:pPr>
                  <w:r>
                    <w:rPr>
                      <w:i/>
                      <w:w w:val="99"/>
                      <w:sz w:val="14"/>
                    </w:rPr>
                    <w:t>k</w:t>
                  </w:r>
                </w:p>
              </w:txbxContent>
            </v:textbox>
          </v:shape>
        </w:pict>
      </w:r>
      <w:r>
        <w:rPr>
          <w:rFonts w:ascii="Arial"/>
          <w:position w:val="-2"/>
          <w:sz w:val="15"/>
        </w:rPr>
      </w:r>
    </w:p>
    <w:p>
      <w:pPr>
        <w:pStyle w:val="BodyText"/>
        <w:spacing w:line="210" w:lineRule="exact" w:before="90"/>
        <w:ind w:left="929"/>
      </w:pPr>
      <w:r>
        <w:rPr/>
        <w:br w:type="column"/>
      </w:r>
      <w:r>
        <w:rPr/>
        <w:t>(C.19b)</w:t>
      </w:r>
    </w:p>
    <w:p>
      <w:pPr>
        <w:spacing w:after="0" w:line="210" w:lineRule="exact"/>
        <w:sectPr>
          <w:type w:val="continuous"/>
          <w:pgSz w:w="11910" w:h="16840"/>
          <w:pgMar w:top="580" w:bottom="280" w:left="1240" w:right="1300"/>
          <w:cols w:num="3" w:equalWidth="0">
            <w:col w:w="2044" w:space="40"/>
            <w:col w:w="1169" w:space="3796"/>
            <w:col w:w="2321"/>
          </w:cols>
        </w:sectPr>
      </w:pPr>
    </w:p>
    <w:p>
      <w:pPr>
        <w:pStyle w:val="BodyText"/>
        <w:spacing w:before="5"/>
        <w:rPr>
          <w:sz w:val="12"/>
        </w:rPr>
      </w:pPr>
    </w:p>
    <w:p>
      <w:pPr>
        <w:spacing w:before="0"/>
        <w:ind w:left="0" w:right="0" w:firstLine="0"/>
        <w:jc w:val="right"/>
        <w:rPr>
          <w:i/>
          <w:sz w:val="14"/>
        </w:rPr>
      </w:pPr>
      <w:r>
        <w:rPr>
          <w:i/>
          <w:w w:val="95"/>
          <w:sz w:val="14"/>
        </w:rPr>
        <w:t>fsys</w:t>
      </w:r>
    </w:p>
    <w:p>
      <w:pPr>
        <w:spacing w:line="246" w:lineRule="exact" w:before="0"/>
        <w:ind w:left="254" w:right="0" w:firstLine="0"/>
        <w:jc w:val="left"/>
        <w:rPr>
          <w:i/>
          <w:sz w:val="24"/>
        </w:rPr>
      </w:pPr>
      <w:r>
        <w:rPr/>
        <w:br w:type="column"/>
      </w:r>
      <w:r>
        <w:rPr>
          <w:i/>
          <w:sz w:val="24"/>
        </w:rPr>
        <w:t>Min P</w:t>
      </w:r>
      <w:r>
        <w:rPr>
          <w:sz w:val="24"/>
        </w:rPr>
        <w:t>(</w:t>
      </w:r>
      <w:r>
        <w:rPr>
          <w:i/>
          <w:sz w:val="24"/>
        </w:rPr>
        <w:t>F</w:t>
      </w:r>
    </w:p>
    <w:p>
      <w:pPr>
        <w:spacing w:line="141" w:lineRule="exact" w:before="0"/>
        <w:ind w:left="307" w:right="0" w:firstLine="0"/>
        <w:jc w:val="left"/>
        <w:rPr>
          <w:sz w:val="14"/>
        </w:rPr>
      </w:pPr>
      <w:r>
        <w:rPr>
          <w:i/>
          <w:sz w:val="14"/>
        </w:rPr>
        <w:t>j </w:t>
      </w:r>
      <w:r>
        <w:rPr>
          <w:sz w:val="14"/>
        </w:rPr>
        <w:t>,</w:t>
      </w:r>
      <w:r>
        <w:rPr>
          <w:i/>
          <w:sz w:val="14"/>
        </w:rPr>
        <w:t>k </w:t>
      </w:r>
      <w:r>
        <w:rPr>
          <w:rFonts w:ascii="Arial"/>
          <w:sz w:val="14"/>
        </w:rPr>
        <w:t>=</w:t>
      </w:r>
      <w:r>
        <w:rPr>
          <w:sz w:val="14"/>
        </w:rPr>
        <w:t>1</w:t>
      </w:r>
    </w:p>
    <w:p>
      <w:pPr>
        <w:spacing w:after="0" w:line="141" w:lineRule="exact"/>
        <w:jc w:val="left"/>
        <w:rPr>
          <w:sz w:val="14"/>
        </w:rPr>
        <w:sectPr>
          <w:type w:val="continuous"/>
          <w:pgSz w:w="11910" w:h="16840"/>
          <w:pgMar w:top="580" w:bottom="280" w:left="1240" w:right="1300"/>
          <w:cols w:num="2" w:equalWidth="0">
            <w:col w:w="1286" w:space="39"/>
            <w:col w:w="8045"/>
          </w:cols>
        </w:sectPr>
      </w:pPr>
    </w:p>
    <w:p>
      <w:pPr>
        <w:pStyle w:val="BodyText"/>
        <w:spacing w:line="302" w:lineRule="auto" w:before="127"/>
        <w:ind w:left="177" w:right="110" w:hanging="1"/>
        <w:jc w:val="both"/>
      </w:pPr>
      <w:r>
        <w:rPr/>
        <w:t>The error involved in the first-order evaluation of the intersections, P[F</w:t>
      </w:r>
      <w:r>
        <w:rPr>
          <w:i/>
          <w:position w:val="-3"/>
        </w:rPr>
        <w:t>j </w:t>
      </w:r>
      <w:r>
        <w:rPr>
          <w:rFonts w:ascii="Arial" w:hAnsi="Arial"/>
        </w:rPr>
        <w:t>∩ </w:t>
      </w:r>
      <w:r>
        <w:rPr/>
        <w:t>F</w:t>
      </w:r>
      <w:r>
        <w:rPr>
          <w:i/>
          <w:position w:val="-3"/>
        </w:rPr>
        <w:t>k</w:t>
      </w:r>
      <w:r>
        <w:rPr/>
        <w:t>], is, to a large extent, influenced by the non-linearity of the margins at their respective design points. In order to obtain a better estimate of the intersection probabilities, an improvement on the selection of linearisation points has been suggested.</w:t>
      </w:r>
    </w:p>
    <w:p>
      <w:pPr>
        <w:pStyle w:val="BodyText"/>
        <w:rPr>
          <w:sz w:val="26"/>
        </w:rPr>
      </w:pPr>
    </w:p>
    <w:p>
      <w:pPr>
        <w:pStyle w:val="BodyText"/>
        <w:rPr>
          <w:sz w:val="26"/>
        </w:rPr>
      </w:pPr>
    </w:p>
    <w:p>
      <w:pPr>
        <w:pStyle w:val="Heading2"/>
        <w:numPr>
          <w:ilvl w:val="1"/>
          <w:numId w:val="24"/>
        </w:numPr>
        <w:tabs>
          <w:tab w:pos="1085" w:val="left" w:leader="none"/>
        </w:tabs>
        <w:spacing w:line="240" w:lineRule="auto" w:before="191" w:after="0"/>
        <w:ind w:left="1084" w:right="0" w:hanging="907"/>
        <w:jc w:val="both"/>
      </w:pPr>
      <w:bookmarkStart w:name="_TOC_250006" w:id="44"/>
      <w:bookmarkEnd w:id="44"/>
      <w:r>
        <w:rPr/>
        <w:t>Time-Dependent Reliability</w:t>
      </w:r>
    </w:p>
    <w:p>
      <w:pPr>
        <w:pStyle w:val="BodyText"/>
        <w:spacing w:before="5"/>
        <w:rPr>
          <w:b/>
          <w:sz w:val="31"/>
        </w:rPr>
      </w:pPr>
    </w:p>
    <w:p>
      <w:pPr>
        <w:pStyle w:val="ListParagraph"/>
        <w:numPr>
          <w:ilvl w:val="2"/>
          <w:numId w:val="24"/>
        </w:numPr>
        <w:tabs>
          <w:tab w:pos="1085" w:val="left" w:leader="none"/>
        </w:tabs>
        <w:spacing w:line="240" w:lineRule="auto" w:before="0" w:after="0"/>
        <w:ind w:left="1084" w:right="0" w:hanging="907"/>
        <w:jc w:val="both"/>
        <w:rPr>
          <w:sz w:val="24"/>
        </w:rPr>
      </w:pPr>
      <w:r>
        <w:rPr>
          <w:sz w:val="24"/>
          <w:u w:val="single"/>
        </w:rPr>
        <w:t>General</w:t>
      </w:r>
      <w:r>
        <w:rPr>
          <w:spacing w:val="-1"/>
          <w:sz w:val="24"/>
          <w:u w:val="single"/>
        </w:rPr>
        <w:t> </w:t>
      </w:r>
      <w:r>
        <w:rPr>
          <w:sz w:val="24"/>
          <w:u w:val="single"/>
        </w:rPr>
        <w:t>Remarks</w:t>
      </w:r>
    </w:p>
    <w:p>
      <w:pPr>
        <w:pStyle w:val="BodyText"/>
        <w:spacing w:before="4"/>
        <w:rPr>
          <w:sz w:val="20"/>
        </w:rPr>
      </w:pPr>
    </w:p>
    <w:p>
      <w:pPr>
        <w:pStyle w:val="BodyText"/>
        <w:spacing w:line="312" w:lineRule="auto" w:before="90"/>
        <w:ind w:left="177" w:right="112"/>
        <w:jc w:val="both"/>
      </w:pPr>
      <w:r>
        <w:rPr/>
        <w:t>Even in considering a relatively simple safety margin for component reliability analysis such as </w:t>
      </w:r>
      <w:r>
        <w:rPr>
          <w:i/>
        </w:rPr>
        <w:t>M = R - S</w:t>
      </w:r>
      <w:r>
        <w:rPr/>
        <w:t>, where </w:t>
      </w:r>
      <w:r>
        <w:rPr>
          <w:i/>
        </w:rPr>
        <w:t>R </w:t>
      </w:r>
      <w:r>
        <w:rPr/>
        <w:t>is the resistance at a critical section in a structural member and </w:t>
      </w:r>
      <w:r>
        <w:rPr>
          <w:i/>
        </w:rPr>
        <w:t>S </w:t>
      </w:r>
      <w:r>
        <w:rPr/>
        <w:t>is the corresponding load effect at the same section, it is generally the case that both </w:t>
      </w:r>
      <w:r>
        <w:rPr>
          <w:i/>
        </w:rPr>
        <w:t>S </w:t>
      </w:r>
      <w:r>
        <w:rPr/>
        <w:t>and resistance </w:t>
      </w:r>
      <w:r>
        <w:rPr>
          <w:i/>
        </w:rPr>
        <w:t>R </w:t>
      </w:r>
      <w:r>
        <w:rPr/>
        <w:t>are functions of time. Changes in both mean values and standard deviations</w:t>
      </w:r>
      <w:r>
        <w:rPr>
          <w:spacing w:val="-4"/>
        </w:rPr>
        <w:t> </w:t>
      </w:r>
      <w:r>
        <w:rPr/>
        <w:t>could</w:t>
      </w:r>
    </w:p>
    <w:p>
      <w:pPr>
        <w:spacing w:after="0" w:line="312" w:lineRule="auto"/>
        <w:jc w:val="both"/>
        <w:sectPr>
          <w:type w:val="continuous"/>
          <w:pgSz w:w="11910" w:h="16840"/>
          <w:pgMar w:top="580" w:bottom="280" w:left="1240" w:right="1300"/>
        </w:sectPr>
      </w:pPr>
    </w:p>
    <w:p>
      <w:pPr>
        <w:pStyle w:val="BodyText"/>
        <w:spacing w:line="312" w:lineRule="auto" w:before="62"/>
        <w:ind w:left="177" w:right="108" w:hanging="1"/>
        <w:jc w:val="both"/>
      </w:pPr>
      <w:r>
        <w:rPr/>
        <w:t>occur for either </w:t>
      </w:r>
      <w:r>
        <w:rPr>
          <w:i/>
        </w:rPr>
        <w:t>R(t) </w:t>
      </w:r>
      <w:r>
        <w:rPr/>
        <w:t>or </w:t>
      </w:r>
      <w:r>
        <w:rPr>
          <w:i/>
        </w:rPr>
        <w:t>S(t). </w:t>
      </w:r>
      <w:r>
        <w:rPr/>
        <w:t>For example, the mean value of </w:t>
      </w:r>
      <w:r>
        <w:rPr>
          <w:i/>
        </w:rPr>
        <w:t>R(t) </w:t>
      </w:r>
      <w:r>
        <w:rPr/>
        <w:t>may change as a result of deterioration (e.g. corrosion of reinforcement in an RC bridge implies loss of area, hence a reduction in the mean resistance) and its standard deviation may also change (e.g. uncertainty in predicting the effect of corrosion on loss of area may increase as the periods considered become longer). On the other hand, the mean value of </w:t>
      </w:r>
      <w:r>
        <w:rPr>
          <w:i/>
        </w:rPr>
        <w:t>S(t)  </w:t>
      </w:r>
      <w:r>
        <w:rPr/>
        <w:t>may increase over time (e.g. due  to higher traffic flow and/or higher individual vehicle weights) and, equally, the estimate of  its standard deviation may increase due to lower confidence in predicting the correct mix of traffic for longer periods. A time-dependent reliability problem could thus be schematically represented as in Fig. C.7, the diagram implying that, on average, the reliability decreases with time. Although this situation is usual, the converse could also occur in reliability assessment of existing structures, for example through strengthening or favourable change in use.</w:t>
      </w:r>
    </w:p>
    <w:p>
      <w:pPr>
        <w:pStyle w:val="BodyText"/>
        <w:spacing w:before="6"/>
        <w:rPr>
          <w:sz w:val="32"/>
        </w:rPr>
      </w:pPr>
    </w:p>
    <w:p>
      <w:pPr>
        <w:pStyle w:val="BodyText"/>
        <w:spacing w:line="312" w:lineRule="auto"/>
        <w:ind w:left="177" w:right="112"/>
        <w:jc w:val="both"/>
      </w:pPr>
      <w:r>
        <w:rPr/>
        <w:t>Thus, the elementary reliability problem described through equations (C.3a) and (C.3 b) may now be formulated as:</w:t>
      </w:r>
    </w:p>
    <w:p>
      <w:pPr>
        <w:pStyle w:val="BodyText"/>
        <w:spacing w:before="5"/>
        <w:rPr>
          <w:sz w:val="31"/>
        </w:rPr>
      </w:pPr>
    </w:p>
    <w:p>
      <w:pPr>
        <w:tabs>
          <w:tab w:pos="7269" w:val="left" w:leader="none"/>
        </w:tabs>
        <w:spacing w:before="0"/>
        <w:ind w:left="1595" w:right="0" w:firstLine="0"/>
        <w:jc w:val="left"/>
        <w:rPr>
          <w:sz w:val="24"/>
        </w:rPr>
      </w:pPr>
      <w:r>
        <w:rPr>
          <w:i/>
          <w:sz w:val="24"/>
        </w:rPr>
        <w:t>P</w:t>
      </w:r>
      <w:r>
        <w:rPr>
          <w:i/>
          <w:position w:val="-3"/>
          <w:sz w:val="22"/>
        </w:rPr>
        <w:t>f </w:t>
      </w:r>
      <w:r>
        <w:rPr>
          <w:i/>
          <w:sz w:val="24"/>
        </w:rPr>
        <w:t>(t)  </w:t>
      </w:r>
      <w:r>
        <w:rPr>
          <w:sz w:val="24"/>
        </w:rPr>
        <w:t>= Prob{ </w:t>
      </w:r>
      <w:r>
        <w:rPr>
          <w:b/>
          <w:sz w:val="24"/>
        </w:rPr>
        <w:t>R </w:t>
      </w:r>
      <w:r>
        <w:rPr>
          <w:sz w:val="24"/>
        </w:rPr>
        <w:t>(</w:t>
      </w:r>
      <w:r>
        <w:rPr>
          <w:i/>
          <w:sz w:val="24"/>
        </w:rPr>
        <w:t>t</w:t>
      </w:r>
      <w:r>
        <w:rPr>
          <w:sz w:val="24"/>
        </w:rPr>
        <w:t>) </w:t>
      </w:r>
      <w:r>
        <w:rPr>
          <w:rFonts w:ascii="Arial" w:hAnsi="Arial"/>
          <w:sz w:val="24"/>
        </w:rPr>
        <w:t>≤ </w:t>
      </w:r>
      <w:r>
        <w:rPr>
          <w:rFonts w:ascii="TimesNewRomanPS-BoldItalicMT" w:hAnsi="TimesNewRomanPS-BoldItalicMT"/>
          <w:b/>
          <w:i/>
          <w:sz w:val="24"/>
        </w:rPr>
        <w:t>S </w:t>
      </w:r>
      <w:r>
        <w:rPr>
          <w:sz w:val="24"/>
        </w:rPr>
        <w:t>(</w:t>
      </w:r>
      <w:r>
        <w:rPr>
          <w:i/>
          <w:sz w:val="24"/>
        </w:rPr>
        <w:t>t</w:t>
      </w:r>
      <w:r>
        <w:rPr>
          <w:sz w:val="24"/>
        </w:rPr>
        <w:t>) }= Prob { </w:t>
      </w:r>
      <w:r>
        <w:rPr>
          <w:i/>
          <w:sz w:val="24"/>
        </w:rPr>
        <w:t>g </w:t>
      </w:r>
      <w:r>
        <w:rPr>
          <w:sz w:val="24"/>
        </w:rPr>
        <w:t>(</w:t>
      </w:r>
      <w:r>
        <w:rPr>
          <w:b/>
          <w:sz w:val="24"/>
        </w:rPr>
        <w:t>X</w:t>
      </w:r>
      <w:r>
        <w:rPr>
          <w:sz w:val="24"/>
        </w:rPr>
        <w:t>(</w:t>
      </w:r>
      <w:r>
        <w:rPr>
          <w:i/>
          <w:sz w:val="24"/>
        </w:rPr>
        <w:t>t</w:t>
      </w:r>
      <w:r>
        <w:rPr>
          <w:sz w:val="24"/>
        </w:rPr>
        <w:t>)) </w:t>
      </w:r>
      <w:r>
        <w:rPr>
          <w:rFonts w:ascii="Arial" w:hAnsi="Arial"/>
          <w:sz w:val="24"/>
        </w:rPr>
        <w:t>≤ </w:t>
      </w:r>
      <w:r>
        <w:rPr>
          <w:sz w:val="24"/>
        </w:rPr>
        <w:t>0</w:t>
      </w:r>
      <w:r>
        <w:rPr>
          <w:spacing w:val="-29"/>
          <w:sz w:val="24"/>
        </w:rPr>
        <w:t> </w:t>
      </w:r>
      <w:r>
        <w:rPr>
          <w:sz w:val="24"/>
        </w:rPr>
        <w:t>}</w:t>
      </w:r>
      <w:r>
        <w:rPr>
          <w:spacing w:val="-16"/>
          <w:sz w:val="24"/>
        </w:rPr>
        <w:t> </w:t>
      </w:r>
      <w:r>
        <w:rPr>
          <w:sz w:val="24"/>
        </w:rPr>
        <w:t>00,0</w:t>
        <w:tab/>
        <w:t>(C.20a)</w:t>
      </w:r>
    </w:p>
    <w:p>
      <w:pPr>
        <w:pStyle w:val="BodyText"/>
        <w:spacing w:before="8"/>
        <w:rPr>
          <w:sz w:val="27"/>
        </w:rPr>
      </w:pPr>
    </w:p>
    <w:p>
      <w:pPr>
        <w:spacing w:after="0"/>
        <w:rPr>
          <w:sz w:val="27"/>
        </w:rPr>
        <w:sectPr>
          <w:pgSz w:w="11910" w:h="16840"/>
          <w:pgMar w:header="0" w:footer="788" w:top="1460" w:bottom="980" w:left="1240" w:right="1300"/>
        </w:sectPr>
      </w:pPr>
    </w:p>
    <w:p>
      <w:pPr>
        <w:pStyle w:val="BodyText"/>
        <w:spacing w:before="90"/>
        <w:ind w:left="137"/>
        <w:jc w:val="center"/>
      </w:pPr>
      <w:r>
        <w:rPr/>
        <w:drawing>
          <wp:anchor distT="0" distB="0" distL="0" distR="0" allowOverlap="1" layoutInCell="1" locked="0" behindDoc="1" simplePos="0" relativeHeight="268378367">
            <wp:simplePos x="0" y="0"/>
            <wp:positionH relativeFrom="page">
              <wp:posOffset>2264664</wp:posOffset>
            </wp:positionH>
            <wp:positionV relativeFrom="paragraph">
              <wp:posOffset>233731</wp:posOffset>
            </wp:positionV>
            <wp:extent cx="101345" cy="445770"/>
            <wp:effectExtent l="0" t="0" r="0" b="0"/>
            <wp:wrapNone/>
            <wp:docPr id="3" name="image4.png" descr=""/>
            <wp:cNvGraphicFramePr>
              <a:graphicFrameLocks noChangeAspect="1"/>
            </wp:cNvGraphicFramePr>
            <a:graphic>
              <a:graphicData uri="http://schemas.openxmlformats.org/drawingml/2006/picture">
                <pic:pic>
                  <pic:nvPicPr>
                    <pic:cNvPr id="4" name="image4.png"/>
                    <pic:cNvPicPr/>
                  </pic:nvPicPr>
                  <pic:blipFill>
                    <a:blip r:embed="rId9" cstate="print"/>
                    <a:stretch>
                      <a:fillRect/>
                    </a:stretch>
                  </pic:blipFill>
                  <pic:spPr>
                    <a:xfrm>
                      <a:off x="0" y="0"/>
                      <a:ext cx="101345" cy="445770"/>
                    </a:xfrm>
                    <a:prstGeom prst="rect">
                      <a:avLst/>
                    </a:prstGeom>
                  </pic:spPr>
                </pic:pic>
              </a:graphicData>
            </a:graphic>
          </wp:anchor>
        </w:drawing>
      </w:r>
      <w:r>
        <w:rPr/>
        <w:t>where </w:t>
      </w:r>
      <w:r>
        <w:rPr>
          <w:i/>
        </w:rPr>
        <w:t>g </w:t>
      </w:r>
      <w:r>
        <w:rPr/>
        <w:t>(</w:t>
      </w:r>
      <w:r>
        <w:rPr>
          <w:b/>
        </w:rPr>
        <w:t>X</w:t>
      </w:r>
      <w:r>
        <w:rPr/>
        <w:t>(</w:t>
      </w:r>
      <w:r>
        <w:rPr>
          <w:i/>
        </w:rPr>
        <w:t>t</w:t>
      </w:r>
      <w:r>
        <w:rPr/>
        <w:t>)) = M(</w:t>
      </w:r>
      <w:r>
        <w:rPr>
          <w:i/>
        </w:rPr>
        <w:t>t</w:t>
      </w:r>
      <w:r>
        <w:rPr/>
        <w:t>) is a time-dependent safety margin, and</w:t>
      </w:r>
    </w:p>
    <w:p>
      <w:pPr>
        <w:tabs>
          <w:tab w:pos="1988" w:val="left" w:leader="none"/>
        </w:tabs>
        <w:spacing w:before="206"/>
        <w:ind w:left="298" w:right="0" w:firstLine="0"/>
        <w:jc w:val="center"/>
        <w:rPr>
          <w:sz w:val="24"/>
        </w:rPr>
      </w:pPr>
      <w:r>
        <w:rPr>
          <w:i/>
          <w:spacing w:val="-4"/>
          <w:position w:val="2"/>
          <w:sz w:val="24"/>
        </w:rPr>
        <w:t>P</w:t>
      </w:r>
      <w:r>
        <w:rPr>
          <w:i/>
          <w:spacing w:val="-4"/>
          <w:position w:val="2"/>
          <w:sz w:val="24"/>
          <w:vertAlign w:val="subscript"/>
        </w:rPr>
        <w:t>f</w:t>
      </w:r>
      <w:r>
        <w:rPr>
          <w:i/>
          <w:spacing w:val="-9"/>
          <w:position w:val="2"/>
          <w:sz w:val="24"/>
          <w:vertAlign w:val="baseline"/>
        </w:rPr>
        <w:t> </w:t>
      </w:r>
      <w:r>
        <w:rPr>
          <w:spacing w:val="-3"/>
          <w:position w:val="2"/>
          <w:sz w:val="24"/>
          <w:vertAlign w:val="baseline"/>
        </w:rPr>
        <w:t>(</w:t>
      </w:r>
      <w:r>
        <w:rPr>
          <w:i/>
          <w:spacing w:val="-3"/>
          <w:position w:val="2"/>
          <w:sz w:val="24"/>
          <w:vertAlign w:val="baseline"/>
        </w:rPr>
        <w:t>t</w:t>
      </w:r>
      <w:r>
        <w:rPr>
          <w:spacing w:val="-3"/>
          <w:position w:val="2"/>
          <w:sz w:val="24"/>
          <w:vertAlign w:val="baseline"/>
        </w:rPr>
        <w:t>)</w:t>
      </w:r>
      <w:r>
        <w:rPr>
          <w:spacing w:val="-2"/>
          <w:position w:val="2"/>
          <w:sz w:val="24"/>
          <w:vertAlign w:val="baseline"/>
        </w:rPr>
        <w:t> </w:t>
      </w:r>
      <w:r>
        <w:rPr>
          <w:position w:val="2"/>
          <w:sz w:val="24"/>
          <w:vertAlign w:val="baseline"/>
        </w:rPr>
        <w:t>=</w:t>
        <w:tab/>
      </w:r>
      <w:r>
        <w:rPr>
          <w:i/>
          <w:spacing w:val="5"/>
          <w:position w:val="2"/>
          <w:sz w:val="24"/>
          <w:vertAlign w:val="baseline"/>
        </w:rPr>
        <w:t>f</w:t>
      </w:r>
      <w:r>
        <w:rPr>
          <w:b/>
          <w:spacing w:val="5"/>
          <w:sz w:val="18"/>
          <w:vertAlign w:val="baseline"/>
        </w:rPr>
        <w:t>X</w:t>
      </w:r>
      <w:r>
        <w:rPr>
          <w:spacing w:val="5"/>
          <w:sz w:val="18"/>
          <w:vertAlign w:val="baseline"/>
        </w:rPr>
        <w:t>(</w:t>
      </w:r>
      <w:r>
        <w:rPr>
          <w:i/>
          <w:spacing w:val="5"/>
          <w:position w:val="-3"/>
          <w:sz w:val="18"/>
          <w:vertAlign w:val="baseline"/>
        </w:rPr>
        <w:t>t</w:t>
      </w:r>
      <w:r>
        <w:rPr>
          <w:spacing w:val="5"/>
          <w:sz w:val="18"/>
          <w:vertAlign w:val="baseline"/>
        </w:rPr>
        <w:t>) </w:t>
      </w:r>
      <w:r>
        <w:rPr>
          <w:position w:val="2"/>
          <w:sz w:val="24"/>
          <w:vertAlign w:val="baseline"/>
        </w:rPr>
        <w:t>(</w:t>
      </w:r>
      <w:r>
        <w:rPr>
          <w:b/>
          <w:position w:val="1"/>
          <w:sz w:val="24"/>
          <w:vertAlign w:val="baseline"/>
        </w:rPr>
        <w:t>x</w:t>
      </w:r>
      <w:r>
        <w:rPr>
          <w:position w:val="2"/>
          <w:sz w:val="24"/>
          <w:vertAlign w:val="baseline"/>
        </w:rPr>
        <w:t>(</w:t>
      </w:r>
      <w:r>
        <w:rPr>
          <w:i/>
          <w:position w:val="2"/>
          <w:sz w:val="24"/>
          <w:vertAlign w:val="baseline"/>
        </w:rPr>
        <w:t>t</w:t>
      </w:r>
      <w:r>
        <w:rPr>
          <w:position w:val="2"/>
          <w:sz w:val="24"/>
          <w:vertAlign w:val="baseline"/>
        </w:rPr>
        <w:t>)) d</w:t>
      </w:r>
      <w:r>
        <w:rPr>
          <w:b/>
          <w:position w:val="1"/>
          <w:sz w:val="24"/>
          <w:vertAlign w:val="baseline"/>
        </w:rPr>
        <w:t>x</w:t>
      </w:r>
      <w:r>
        <w:rPr>
          <w:b/>
          <w:spacing w:val="-45"/>
          <w:position w:val="1"/>
          <w:sz w:val="24"/>
          <w:vertAlign w:val="baseline"/>
        </w:rPr>
        <w:t> </w:t>
      </w:r>
      <w:r>
        <w:rPr>
          <w:spacing w:val="-3"/>
          <w:position w:val="2"/>
          <w:sz w:val="24"/>
          <w:vertAlign w:val="baseline"/>
        </w:rPr>
        <w:t>(</w:t>
      </w:r>
      <w:r>
        <w:rPr>
          <w:i/>
          <w:spacing w:val="-3"/>
          <w:position w:val="2"/>
          <w:sz w:val="24"/>
          <w:vertAlign w:val="baseline"/>
        </w:rPr>
        <w:t>t</w:t>
      </w:r>
      <w:r>
        <w:rPr>
          <w:spacing w:val="-3"/>
          <w:position w:val="2"/>
          <w:sz w:val="24"/>
          <w:vertAlign w:val="baseline"/>
        </w:rPr>
        <w:t>)</w:t>
      </w:r>
    </w:p>
    <w:p>
      <w:pPr>
        <w:spacing w:before="116"/>
        <w:ind w:left="161" w:right="629" w:firstLine="0"/>
        <w:jc w:val="center"/>
        <w:rPr>
          <w:sz w:val="18"/>
        </w:rPr>
      </w:pPr>
      <w:r>
        <w:rPr>
          <w:sz w:val="18"/>
        </w:rPr>
        <w:t>g(</w:t>
      </w:r>
      <w:r>
        <w:rPr>
          <w:b/>
          <w:sz w:val="18"/>
        </w:rPr>
        <w:t>x</w:t>
      </w:r>
      <w:r>
        <w:rPr>
          <w:sz w:val="18"/>
        </w:rPr>
        <w:t>(t)) </w:t>
      </w:r>
      <w:r>
        <w:rPr>
          <w:rFonts w:ascii="Arial" w:hAnsi="Arial"/>
          <w:position w:val="-1"/>
          <w:sz w:val="20"/>
        </w:rPr>
        <w:t>≤ </w:t>
      </w:r>
      <w:r>
        <w:rPr>
          <w:sz w:val="18"/>
        </w:rPr>
        <w:t>0</w:t>
      </w:r>
    </w:p>
    <w:p>
      <w:pPr>
        <w:pStyle w:val="BodyText"/>
        <w:rPr>
          <w:sz w:val="26"/>
        </w:rPr>
      </w:pPr>
      <w:r>
        <w:rPr/>
        <w:br w:type="column"/>
      </w:r>
      <w:r>
        <w:rPr>
          <w:sz w:val="26"/>
        </w:rPr>
      </w:r>
    </w:p>
    <w:p>
      <w:pPr>
        <w:pStyle w:val="BodyText"/>
        <w:rPr>
          <w:sz w:val="26"/>
        </w:rPr>
      </w:pPr>
    </w:p>
    <w:p>
      <w:pPr>
        <w:pStyle w:val="BodyText"/>
        <w:spacing w:before="216"/>
        <w:ind w:left="177"/>
      </w:pPr>
      <w:r>
        <w:rPr/>
        <w:t>(C.20b)</w:t>
      </w:r>
    </w:p>
    <w:p>
      <w:pPr>
        <w:spacing w:after="0"/>
        <w:sectPr>
          <w:type w:val="continuous"/>
          <w:pgSz w:w="11910" w:h="16840"/>
          <w:pgMar w:top="580" w:bottom="280" w:left="1240" w:right="1300"/>
          <w:cols w:num="2" w:equalWidth="0">
            <w:col w:w="6085" w:space="1716"/>
            <w:col w:w="1569"/>
          </w:cols>
        </w:sectPr>
      </w:pPr>
    </w:p>
    <w:p>
      <w:pPr>
        <w:pStyle w:val="BodyText"/>
        <w:spacing w:line="312" w:lineRule="auto" w:before="133"/>
        <w:ind w:left="177" w:right="113"/>
        <w:jc w:val="both"/>
      </w:pPr>
      <w:r>
        <w:rPr/>
        <w:t>is the instantaneous failure probability at time </w:t>
      </w:r>
      <w:r>
        <w:rPr>
          <w:i/>
        </w:rPr>
        <w:t>t</w:t>
      </w:r>
      <w:r>
        <w:rPr/>
        <w:t>, assuming that the structure was safe at time less than </w:t>
      </w:r>
      <w:r>
        <w:rPr>
          <w:i/>
        </w:rPr>
        <w:t>t</w:t>
      </w:r>
      <w:r>
        <w:rPr/>
        <w:t>.</w:t>
      </w:r>
    </w:p>
    <w:p>
      <w:pPr>
        <w:pStyle w:val="BodyText"/>
        <w:spacing w:before="6"/>
        <w:rPr>
          <w:sz w:val="31"/>
        </w:rPr>
      </w:pPr>
    </w:p>
    <w:p>
      <w:pPr>
        <w:pStyle w:val="BodyText"/>
        <w:spacing w:line="312" w:lineRule="auto"/>
        <w:ind w:left="177" w:right="110"/>
        <w:jc w:val="both"/>
      </w:pPr>
      <w:r>
        <w:rPr/>
        <w:t>In time-dependent reliability problems, interest often lies in estimating the probability of failure over a time interval, say from 0 to </w:t>
      </w:r>
      <w:r>
        <w:rPr>
          <w:i/>
        </w:rPr>
        <w:t>t</w:t>
      </w:r>
      <w:r>
        <w:rPr>
          <w:vertAlign w:val="subscript"/>
        </w:rPr>
        <w:t>L</w:t>
      </w:r>
      <w:r>
        <w:rPr>
          <w:vertAlign w:val="baseline"/>
        </w:rPr>
        <w:t>. This could be obtained by integrating </w:t>
      </w:r>
      <w:r>
        <w:rPr>
          <w:i/>
          <w:vertAlign w:val="baseline"/>
        </w:rPr>
        <w:t>P</w:t>
      </w:r>
      <w:r>
        <w:rPr>
          <w:i/>
          <w:vertAlign w:val="subscript"/>
        </w:rPr>
        <w:t>f</w:t>
      </w:r>
      <w:r>
        <w:rPr>
          <w:vertAlign w:val="baseline"/>
        </w:rPr>
        <w:t>(</w:t>
      </w:r>
      <w:r>
        <w:rPr>
          <w:i/>
          <w:vertAlign w:val="baseline"/>
        </w:rPr>
        <w:t>t</w:t>
      </w:r>
      <w:r>
        <w:rPr>
          <w:vertAlign w:val="baseline"/>
        </w:rPr>
        <w:t>) over the interval [0, </w:t>
      </w:r>
      <w:r>
        <w:rPr>
          <w:i/>
          <w:vertAlign w:val="baseline"/>
        </w:rPr>
        <w:t>t</w:t>
      </w:r>
      <w:r>
        <w:rPr>
          <w:vertAlign w:val="subscript"/>
        </w:rPr>
        <w:t>L</w:t>
      </w:r>
      <w:r>
        <w:rPr>
          <w:vertAlign w:val="baseline"/>
        </w:rPr>
        <w:t>], bearing in mind the correlation characteristics in time of the process </w:t>
      </w:r>
      <w:r>
        <w:rPr>
          <w:b/>
          <w:vertAlign w:val="baseline"/>
        </w:rPr>
        <w:t>X</w:t>
      </w:r>
      <w:r>
        <w:rPr>
          <w:vertAlign w:val="baseline"/>
        </w:rPr>
        <w:t>(</w:t>
      </w:r>
      <w:r>
        <w:rPr>
          <w:i/>
          <w:vertAlign w:val="baseline"/>
        </w:rPr>
        <w:t>t</w:t>
      </w:r>
      <w:r>
        <w:rPr>
          <w:vertAlign w:val="baseline"/>
        </w:rPr>
        <w:t>) - or, sometimes more conveniently, the process </w:t>
      </w:r>
      <w:r>
        <w:rPr>
          <w:b/>
          <w:vertAlign w:val="baseline"/>
        </w:rPr>
        <w:t>R</w:t>
      </w:r>
      <w:r>
        <w:rPr>
          <w:vertAlign w:val="baseline"/>
        </w:rPr>
        <w:t>(</w:t>
      </w:r>
      <w:r>
        <w:rPr>
          <w:i/>
          <w:vertAlign w:val="baseline"/>
        </w:rPr>
        <w:t>t</w:t>
      </w:r>
      <w:r>
        <w:rPr>
          <w:vertAlign w:val="baseline"/>
        </w:rPr>
        <w:t>), the process </w:t>
      </w:r>
      <w:r>
        <w:rPr>
          <w:b/>
          <w:vertAlign w:val="baseline"/>
        </w:rPr>
        <w:t>S</w:t>
      </w:r>
      <w:r>
        <w:rPr>
          <w:vertAlign w:val="baseline"/>
        </w:rPr>
        <w:t>(</w:t>
      </w:r>
      <w:r>
        <w:rPr>
          <w:i/>
          <w:vertAlign w:val="baseline"/>
        </w:rPr>
        <w:t>t</w:t>
      </w:r>
      <w:r>
        <w:rPr>
          <w:vertAlign w:val="baseline"/>
        </w:rPr>
        <w:t>), as well as any cross correlation between </w:t>
      </w:r>
      <w:r>
        <w:rPr>
          <w:b/>
          <w:vertAlign w:val="baseline"/>
        </w:rPr>
        <w:t>R</w:t>
      </w:r>
      <w:r>
        <w:rPr>
          <w:vertAlign w:val="baseline"/>
        </w:rPr>
        <w:t>(</w:t>
      </w:r>
      <w:r>
        <w:rPr>
          <w:i/>
          <w:vertAlign w:val="baseline"/>
        </w:rPr>
        <w:t>t</w:t>
      </w:r>
      <w:r>
        <w:rPr>
          <w:vertAlign w:val="baseline"/>
        </w:rPr>
        <w:t>) and </w:t>
      </w:r>
      <w:r>
        <w:rPr>
          <w:b/>
          <w:vertAlign w:val="baseline"/>
        </w:rPr>
        <w:t>S</w:t>
      </w:r>
      <w:r>
        <w:rPr>
          <w:vertAlign w:val="baseline"/>
        </w:rPr>
        <w:t>(</w:t>
      </w:r>
      <w:r>
        <w:rPr>
          <w:i/>
          <w:vertAlign w:val="baseline"/>
        </w:rPr>
        <w:t>t</w:t>
      </w:r>
      <w:r>
        <w:rPr>
          <w:vertAlign w:val="baseline"/>
        </w:rPr>
        <w:t>). Note that the load effect process </w:t>
      </w:r>
      <w:r>
        <w:rPr>
          <w:b/>
          <w:vertAlign w:val="baseline"/>
        </w:rPr>
        <w:t>S</w:t>
      </w:r>
      <w:r>
        <w:rPr>
          <w:vertAlign w:val="baseline"/>
        </w:rPr>
        <w:t>(</w:t>
      </w:r>
      <w:r>
        <w:rPr>
          <w:i/>
          <w:vertAlign w:val="baseline"/>
        </w:rPr>
        <w:t>t</w:t>
      </w:r>
      <w:r>
        <w:rPr>
          <w:vertAlign w:val="baseline"/>
        </w:rPr>
        <w:t>) is often composed of additive components, S</w:t>
      </w:r>
      <w:r>
        <w:rPr>
          <w:vertAlign w:val="subscript"/>
        </w:rPr>
        <w:t>1</w:t>
      </w:r>
      <w:r>
        <w:rPr>
          <w:vertAlign w:val="baseline"/>
        </w:rPr>
        <w:t>(</w:t>
      </w:r>
      <w:r>
        <w:rPr>
          <w:i/>
          <w:vertAlign w:val="baseline"/>
        </w:rPr>
        <w:t>t</w:t>
      </w:r>
      <w:r>
        <w:rPr>
          <w:vertAlign w:val="baseline"/>
        </w:rPr>
        <w:t>), S</w:t>
      </w:r>
      <w:r>
        <w:rPr>
          <w:vertAlign w:val="subscript"/>
        </w:rPr>
        <w:t>2</w:t>
      </w:r>
      <w:r>
        <w:rPr>
          <w:vertAlign w:val="baseline"/>
        </w:rPr>
        <w:t>(t), ..., for each of which the time fluctuations may have different features (e.g. continuous variation, pulse-type variation,</w:t>
      </w:r>
      <w:r>
        <w:rPr>
          <w:spacing w:val="-1"/>
          <w:vertAlign w:val="baseline"/>
        </w:rPr>
        <w:t> </w:t>
      </w:r>
      <w:r>
        <w:rPr>
          <w:vertAlign w:val="baseline"/>
        </w:rPr>
        <w:t>spikes).</w:t>
      </w:r>
    </w:p>
    <w:p>
      <w:pPr>
        <w:pStyle w:val="BodyText"/>
        <w:rPr>
          <w:sz w:val="32"/>
        </w:rPr>
      </w:pPr>
    </w:p>
    <w:p>
      <w:pPr>
        <w:pStyle w:val="BodyText"/>
        <w:spacing w:line="312" w:lineRule="auto"/>
        <w:ind w:left="177" w:right="111" w:hanging="1"/>
        <w:jc w:val="both"/>
      </w:pPr>
      <w:r>
        <w:rPr/>
        <w:t>Interest may also lie in predicting when S(</w:t>
      </w:r>
      <w:r>
        <w:rPr>
          <w:i/>
        </w:rPr>
        <w:t>t</w:t>
      </w:r>
      <w:r>
        <w:rPr/>
        <w:t>) crosses R(</w:t>
      </w:r>
      <w:r>
        <w:rPr>
          <w:i/>
        </w:rPr>
        <w:t>t</w:t>
      </w:r>
      <w:r>
        <w:rPr/>
        <w:t>) for the first time, see Figure C.8, or the probability that such an event would occur within a specified time interval. These considerations give rise to so-called ‘crossing’ problems, which are treated using stochastic process theory. A key concept for such problems is the rate at which a random process X(</w:t>
      </w:r>
      <w:r>
        <w:rPr>
          <w:i/>
        </w:rPr>
        <w:t>t</w:t>
      </w:r>
      <w:r>
        <w:rPr/>
        <w:t>) ‘upcrosses’ (or crosses with a positive slope) a barrier or level </w:t>
      </w:r>
      <w:r>
        <w:rPr>
          <w:rFonts w:ascii="Arial" w:hAnsi="Arial"/>
          <w:i/>
          <w:sz w:val="25"/>
        </w:rPr>
        <w:t>ξ</w:t>
      </w:r>
      <w:r>
        <w:rPr/>
        <w:t>, as shown in Figure A.9. This</w:t>
      </w:r>
    </w:p>
    <w:p>
      <w:pPr>
        <w:spacing w:after="0" w:line="312" w:lineRule="auto"/>
        <w:jc w:val="both"/>
        <w:sectPr>
          <w:type w:val="continuous"/>
          <w:pgSz w:w="11910" w:h="16840"/>
          <w:pgMar w:top="580" w:bottom="280" w:left="1240" w:right="1300"/>
        </w:sectPr>
      </w:pPr>
    </w:p>
    <w:p>
      <w:pPr>
        <w:pStyle w:val="BodyText"/>
        <w:spacing w:before="62"/>
        <w:ind w:left="177"/>
      </w:pPr>
      <w:r>
        <w:rPr/>
        <w:t>upcrossing rate is a function of the joint probability density function of the process and its</w:t>
      </w:r>
    </w:p>
    <w:p>
      <w:pPr>
        <w:pStyle w:val="BodyText"/>
        <w:spacing w:before="84"/>
        <w:ind w:left="177"/>
      </w:pPr>
      <w:r>
        <w:rPr/>
        <w:t>derivative, and is given by Rice’s formula</w:t>
      </w:r>
    </w:p>
    <w:p>
      <w:pPr>
        <w:spacing w:before="9"/>
        <w:ind w:left="1585" w:right="0" w:firstLine="0"/>
        <w:jc w:val="left"/>
        <w:rPr>
          <w:rFonts w:ascii="Arial" w:hAnsi="Arial"/>
          <w:sz w:val="12"/>
        </w:rPr>
      </w:pPr>
      <w:r>
        <w:rPr/>
        <w:drawing>
          <wp:anchor distT="0" distB="0" distL="0" distR="0" allowOverlap="1" layoutInCell="1" locked="0" behindDoc="1" simplePos="0" relativeHeight="268378391">
            <wp:simplePos x="0" y="0"/>
            <wp:positionH relativeFrom="page">
              <wp:posOffset>1679448</wp:posOffset>
            </wp:positionH>
            <wp:positionV relativeFrom="paragraph">
              <wp:posOffset>51283</wp:posOffset>
            </wp:positionV>
            <wp:extent cx="100583" cy="455676"/>
            <wp:effectExtent l="0" t="0" r="0" b="0"/>
            <wp:wrapNone/>
            <wp:docPr id="5" name="image5.png" descr=""/>
            <wp:cNvGraphicFramePr>
              <a:graphicFrameLocks noChangeAspect="1"/>
            </wp:cNvGraphicFramePr>
            <a:graphic>
              <a:graphicData uri="http://schemas.openxmlformats.org/drawingml/2006/picture">
                <pic:pic>
                  <pic:nvPicPr>
                    <pic:cNvPr id="6" name="image5.png"/>
                    <pic:cNvPicPr/>
                  </pic:nvPicPr>
                  <pic:blipFill>
                    <a:blip r:embed="rId10" cstate="print"/>
                    <a:stretch>
                      <a:fillRect/>
                    </a:stretch>
                  </pic:blipFill>
                  <pic:spPr>
                    <a:xfrm>
                      <a:off x="0" y="0"/>
                      <a:ext cx="100583" cy="455676"/>
                    </a:xfrm>
                    <a:prstGeom prst="rect">
                      <a:avLst/>
                    </a:prstGeom>
                  </pic:spPr>
                </pic:pic>
              </a:graphicData>
            </a:graphic>
          </wp:anchor>
        </w:drawing>
      </w:r>
      <w:r>
        <w:rPr>
          <w:rFonts w:ascii="Arial" w:hAnsi="Arial"/>
          <w:sz w:val="12"/>
        </w:rPr>
        <w:t>∞</w:t>
      </w:r>
    </w:p>
    <w:p>
      <w:pPr>
        <w:spacing w:after="0"/>
        <w:jc w:val="left"/>
        <w:rPr>
          <w:rFonts w:ascii="Arial" w:hAnsi="Arial"/>
          <w:sz w:val="12"/>
        </w:rPr>
        <w:sectPr>
          <w:pgSz w:w="11910" w:h="16840"/>
          <w:pgMar w:header="0" w:footer="788" w:top="1460" w:bottom="980" w:left="1240" w:right="1300"/>
        </w:sectPr>
      </w:pPr>
    </w:p>
    <w:p>
      <w:pPr>
        <w:tabs>
          <w:tab w:pos="1726" w:val="left" w:leader="none"/>
        </w:tabs>
        <w:spacing w:before="106"/>
        <w:ind w:left="885" w:right="0" w:firstLine="0"/>
        <w:jc w:val="left"/>
        <w:rPr>
          <w:i/>
          <w:sz w:val="24"/>
        </w:rPr>
      </w:pPr>
      <w:r>
        <w:rPr/>
        <w:pict>
          <v:shape style="position:absolute;margin-left:113.279999pt;margin-top:11.14411pt;width:4.45pt;height:11.65pt;mso-position-horizontal-relative:page;mso-position-vertical-relative:paragraph;z-index:-57040" type="#_x0000_t202" filled="false" stroked="false">
            <v:textbox inset="0,0,0,0">
              <w:txbxContent>
                <w:p>
                  <w:pPr>
                    <w:spacing w:before="13"/>
                    <w:ind w:left="0" w:right="0" w:firstLine="0"/>
                    <w:jc w:val="left"/>
                    <w:rPr>
                      <w:rFonts w:ascii="Arial" w:hAnsi="Arial"/>
                      <w:i/>
                      <w:sz w:val="19"/>
                    </w:rPr>
                  </w:pPr>
                  <w:r>
                    <w:rPr>
                      <w:rFonts w:ascii="Arial" w:hAnsi="Arial"/>
                      <w:i/>
                      <w:w w:val="104"/>
                      <w:sz w:val="19"/>
                    </w:rPr>
                    <w:t>ξ</w:t>
                  </w:r>
                </w:p>
              </w:txbxContent>
            </v:textbox>
            <w10:wrap type="none"/>
          </v:shape>
        </w:pict>
      </w:r>
      <w:r>
        <w:rPr>
          <w:rFonts w:ascii="Arial" w:hAnsi="Arial"/>
          <w:i/>
          <w:sz w:val="25"/>
        </w:rPr>
        <w:t>ν</w:t>
      </w:r>
      <w:r>
        <w:rPr>
          <w:rFonts w:ascii="Arial" w:hAnsi="Arial"/>
          <w:i/>
          <w:spacing w:val="-36"/>
          <w:sz w:val="25"/>
        </w:rPr>
        <w:t> </w:t>
      </w:r>
      <w:r>
        <w:rPr>
          <w:position w:val="8"/>
          <w:sz w:val="18"/>
        </w:rPr>
        <w:t>+</w:t>
      </w:r>
      <w:r>
        <w:rPr>
          <w:spacing w:val="-1"/>
          <w:position w:val="8"/>
          <w:sz w:val="18"/>
        </w:rPr>
        <w:t> </w:t>
      </w:r>
      <w:r>
        <w:rPr>
          <w:sz w:val="24"/>
        </w:rPr>
        <w:t>=</w:t>
        <w:tab/>
      </w:r>
      <w:r>
        <w:rPr>
          <w:i/>
          <w:sz w:val="24"/>
        </w:rPr>
        <w:t>x</w:t>
      </w:r>
      <w:r>
        <w:rPr>
          <w:i/>
          <w:spacing w:val="11"/>
          <w:sz w:val="24"/>
        </w:rPr>
        <w:t> </w:t>
      </w:r>
      <w:r>
        <w:rPr>
          <w:i/>
          <w:sz w:val="24"/>
        </w:rPr>
        <w:t>f</w:t>
      </w:r>
    </w:p>
    <w:p>
      <w:pPr>
        <w:spacing w:before="135"/>
        <w:ind w:left="0" w:right="405" w:firstLine="0"/>
        <w:jc w:val="right"/>
        <w:rPr>
          <w:sz w:val="12"/>
        </w:rPr>
      </w:pPr>
      <w:r>
        <w:rPr>
          <w:sz w:val="12"/>
        </w:rPr>
        <w:t>0</w:t>
      </w:r>
    </w:p>
    <w:p>
      <w:pPr>
        <w:spacing w:before="119"/>
        <w:ind w:left="32" w:right="0" w:firstLine="0"/>
        <w:jc w:val="left"/>
        <w:rPr>
          <w:i/>
          <w:sz w:val="24"/>
        </w:rPr>
      </w:pPr>
      <w:r>
        <w:rPr/>
        <w:br w:type="column"/>
      </w:r>
      <w:r>
        <w:rPr>
          <w:i/>
          <w:position w:val="-7"/>
          <w:sz w:val="18"/>
        </w:rPr>
        <w:t>XX</w:t>
      </w:r>
      <w:r>
        <w:rPr>
          <w:sz w:val="24"/>
        </w:rPr>
        <w:t>(</w:t>
      </w:r>
      <w:r>
        <w:rPr>
          <w:rFonts w:ascii="Arial" w:hAnsi="Arial"/>
          <w:i/>
          <w:sz w:val="25"/>
        </w:rPr>
        <w:t>ξ</w:t>
      </w:r>
      <w:r>
        <w:rPr>
          <w:sz w:val="24"/>
        </w:rPr>
        <w:t>, </w:t>
      </w:r>
      <w:r>
        <w:rPr>
          <w:i/>
          <w:sz w:val="24"/>
        </w:rPr>
        <w:t>x </w:t>
      </w:r>
      <w:r>
        <w:rPr>
          <w:sz w:val="24"/>
        </w:rPr>
        <w:t>) </w:t>
      </w:r>
      <w:r>
        <w:rPr>
          <w:i/>
          <w:sz w:val="24"/>
        </w:rPr>
        <w:t>dx</w:t>
      </w:r>
    </w:p>
    <w:p>
      <w:pPr>
        <w:pStyle w:val="BodyText"/>
        <w:rPr>
          <w:i/>
          <w:sz w:val="26"/>
        </w:rPr>
      </w:pPr>
      <w:r>
        <w:rPr/>
        <w:br w:type="column"/>
      </w:r>
      <w:r>
        <w:rPr>
          <w:i/>
          <w:sz w:val="26"/>
        </w:rPr>
      </w:r>
    </w:p>
    <w:p>
      <w:pPr>
        <w:pStyle w:val="BodyText"/>
        <w:spacing w:before="151"/>
        <w:ind w:left="868" w:right="749"/>
        <w:jc w:val="center"/>
      </w:pPr>
      <w:r>
        <w:rPr/>
        <w:t>(C.21)</w:t>
      </w:r>
    </w:p>
    <w:p>
      <w:pPr>
        <w:spacing w:after="0"/>
        <w:jc w:val="center"/>
        <w:sectPr>
          <w:type w:val="continuous"/>
          <w:pgSz w:w="11910" w:h="16840"/>
          <w:pgMar w:top="580" w:bottom="280" w:left="1240" w:right="1300"/>
          <w:cols w:num="3" w:equalWidth="0">
            <w:col w:w="1974" w:space="40"/>
            <w:col w:w="1201" w:space="3878"/>
            <w:col w:w="2277"/>
          </w:cols>
        </w:sectPr>
      </w:pPr>
    </w:p>
    <w:p>
      <w:pPr>
        <w:pStyle w:val="BodyText"/>
        <w:rPr>
          <w:sz w:val="20"/>
        </w:rPr>
      </w:pPr>
    </w:p>
    <w:p>
      <w:pPr>
        <w:pStyle w:val="BodyText"/>
        <w:spacing w:line="312" w:lineRule="auto" w:before="214"/>
        <w:ind w:left="177" w:right="109"/>
        <w:jc w:val="both"/>
      </w:pPr>
      <w:r>
        <w:rPr/>
        <w:t>where the rate in general represents an ensemble average at time </w:t>
      </w:r>
      <w:r>
        <w:rPr>
          <w:i/>
        </w:rPr>
        <w:t>t</w:t>
      </w:r>
      <w:r>
        <w:rPr/>
        <w:t>. For a number of common stochastic processes, useful results have been obtained starting from Equation (C.21). An important simplification can be introduced if individual crossings can be treated as independent events and the occurences may be approximated by a Poisson distribution, which might be a reasonable assumption for certain rare load events.</w:t>
      </w:r>
    </w:p>
    <w:p>
      <w:pPr>
        <w:pStyle w:val="BodyText"/>
        <w:spacing w:before="10"/>
        <w:rPr>
          <w:sz w:val="31"/>
        </w:rPr>
      </w:pPr>
    </w:p>
    <w:p>
      <w:pPr>
        <w:pStyle w:val="BodyText"/>
        <w:spacing w:line="312" w:lineRule="auto"/>
        <w:ind w:left="177" w:right="111"/>
        <w:jc w:val="both"/>
      </w:pPr>
      <w:r>
        <w:rPr/>
        <w:t>Another class of problems calling for a time-dependent reliability analysis are those related to damage accumulation, such as fatigue and fracture. This case is depicted in Fig. C.10 via a fixed threshold (e.g. critical crack size) and a monotonically increasing time-dependent load effect or damage function (e.g. actual crack size at any given time).</w:t>
      </w:r>
    </w:p>
    <w:p>
      <w:pPr>
        <w:pStyle w:val="BodyText"/>
        <w:spacing w:before="8"/>
        <w:rPr>
          <w:sz w:val="31"/>
        </w:rPr>
      </w:pPr>
    </w:p>
    <w:p>
      <w:pPr>
        <w:pStyle w:val="BodyText"/>
        <w:spacing w:line="312" w:lineRule="auto"/>
        <w:ind w:left="177" w:right="110"/>
        <w:jc w:val="both"/>
      </w:pPr>
      <w:r>
        <w:rPr/>
        <w:t>It is evident from the above remarks that the best approach for solving a time-dependent reliability problem would depend on a number of considerations, including the time frame of interest, the nature of the load and resistance processes involved, their correlation properties in time, and the confidence required in the probability estimates. All these issues may be important in determining the appropriate idealisations and</w:t>
      </w:r>
      <w:r>
        <w:rPr>
          <w:spacing w:val="-2"/>
        </w:rPr>
        <w:t> </w:t>
      </w:r>
      <w:r>
        <w:rPr/>
        <w:t>approximations.</w:t>
      </w:r>
    </w:p>
    <w:p>
      <w:pPr>
        <w:pStyle w:val="BodyText"/>
        <w:rPr>
          <w:sz w:val="26"/>
        </w:rPr>
      </w:pPr>
    </w:p>
    <w:p>
      <w:pPr>
        <w:pStyle w:val="ListParagraph"/>
        <w:numPr>
          <w:ilvl w:val="2"/>
          <w:numId w:val="24"/>
        </w:numPr>
        <w:tabs>
          <w:tab w:pos="1085" w:val="left" w:leader="none"/>
        </w:tabs>
        <w:spacing w:line="240" w:lineRule="auto" w:before="227" w:after="0"/>
        <w:ind w:left="1084" w:right="0" w:hanging="907"/>
        <w:jc w:val="both"/>
        <w:rPr>
          <w:sz w:val="18"/>
        </w:rPr>
      </w:pPr>
      <w:r>
        <w:rPr>
          <w:sz w:val="24"/>
          <w:u w:val="single"/>
        </w:rPr>
        <w:t>Transformation to Time-Independent</w:t>
      </w:r>
      <w:r>
        <w:rPr>
          <w:spacing w:val="-1"/>
          <w:sz w:val="24"/>
          <w:u w:val="single"/>
        </w:rPr>
        <w:t> </w:t>
      </w:r>
      <w:r>
        <w:rPr>
          <w:sz w:val="24"/>
          <w:u w:val="single"/>
        </w:rPr>
        <w:t>Formulations</w:t>
      </w:r>
    </w:p>
    <w:p>
      <w:pPr>
        <w:pStyle w:val="BodyText"/>
        <w:spacing w:before="4"/>
        <w:rPr>
          <w:sz w:val="20"/>
        </w:rPr>
      </w:pPr>
    </w:p>
    <w:p>
      <w:pPr>
        <w:pStyle w:val="BodyText"/>
        <w:spacing w:line="312" w:lineRule="auto" w:before="90"/>
        <w:ind w:left="177" w:right="110"/>
        <w:jc w:val="both"/>
      </w:pPr>
      <w:r>
        <w:rPr/>
        <w:t>Although time variations are likely to be present in most structural reliability problems, the methods outlined in Sections 3 and 4 have gained wide acceptance, partly due to the fact that, in many cases, it is possible to transform a time dependent failure mode into a corresponding time independent mode. This is especially so in the case of overload failure, where individual time-varying actions, which are essentially random processes, </w:t>
      </w:r>
      <w:r>
        <w:rPr>
          <w:i/>
        </w:rPr>
        <w:t>p(t)</w:t>
      </w:r>
      <w:r>
        <w:rPr/>
        <w:t>, can be modelled by the distribution of the maximum value within a given reference period T, i.e. </w:t>
      </w:r>
      <w:r>
        <w:rPr>
          <w:i/>
        </w:rPr>
        <w:t>X </w:t>
      </w:r>
      <w:r>
        <w:rPr/>
        <w:t>= max</w:t>
      </w:r>
      <w:r>
        <w:rPr>
          <w:vertAlign w:val="subscript"/>
        </w:rPr>
        <w:t>T</w:t>
      </w:r>
      <w:r>
        <w:rPr>
          <w:vertAlign w:val="baseline"/>
        </w:rPr>
        <w:t>{ </w:t>
      </w:r>
      <w:r>
        <w:rPr>
          <w:i/>
          <w:vertAlign w:val="baseline"/>
        </w:rPr>
        <w:t>p(t)</w:t>
      </w:r>
      <w:r>
        <w:rPr>
          <w:vertAlign w:val="baseline"/>
        </w:rPr>
        <w:t>} rather than the point-in-time distribution. For continuous processes, the probability distribution of the maximum value (i.e. the largest extreme) is often approximated by one of the asymptotic extreme value distributions. Hence, for structures subjected to a single time- varying action, a random process model is replaced by a random variable model and the principles and methods given previously may be</w:t>
      </w:r>
      <w:r>
        <w:rPr>
          <w:spacing w:val="-1"/>
          <w:vertAlign w:val="baseline"/>
        </w:rPr>
        <w:t> </w:t>
      </w:r>
      <w:r>
        <w:rPr>
          <w:vertAlign w:val="baseline"/>
        </w:rPr>
        <w:t>applied.</w:t>
      </w:r>
    </w:p>
    <w:p>
      <w:pPr>
        <w:pStyle w:val="BodyText"/>
        <w:spacing w:before="6"/>
        <w:rPr>
          <w:sz w:val="32"/>
        </w:rPr>
      </w:pPr>
    </w:p>
    <w:p>
      <w:pPr>
        <w:pStyle w:val="BodyText"/>
        <w:spacing w:line="312" w:lineRule="auto"/>
        <w:ind w:left="177" w:right="109"/>
        <w:jc w:val="both"/>
      </w:pPr>
      <w:r>
        <w:rPr/>
        <w:t>The theory of stochastic load combination is used in situations where a structure is subjected to</w:t>
      </w:r>
      <w:r>
        <w:rPr>
          <w:spacing w:val="37"/>
        </w:rPr>
        <w:t> </w:t>
      </w:r>
      <w:r>
        <w:rPr/>
        <w:t>two</w:t>
      </w:r>
      <w:r>
        <w:rPr>
          <w:spacing w:val="37"/>
        </w:rPr>
        <w:t> </w:t>
      </w:r>
      <w:r>
        <w:rPr/>
        <w:t>or</w:t>
      </w:r>
      <w:r>
        <w:rPr>
          <w:spacing w:val="37"/>
        </w:rPr>
        <w:t> </w:t>
      </w:r>
      <w:r>
        <w:rPr/>
        <w:t>more</w:t>
      </w:r>
      <w:r>
        <w:rPr>
          <w:spacing w:val="37"/>
        </w:rPr>
        <w:t> </w:t>
      </w:r>
      <w:r>
        <w:rPr/>
        <w:t>time-varying</w:t>
      </w:r>
      <w:r>
        <w:rPr>
          <w:spacing w:val="37"/>
        </w:rPr>
        <w:t> </w:t>
      </w:r>
      <w:r>
        <w:rPr/>
        <w:t>actions</w:t>
      </w:r>
      <w:r>
        <w:rPr>
          <w:spacing w:val="37"/>
        </w:rPr>
        <w:t> </w:t>
      </w:r>
      <w:r>
        <w:rPr/>
        <w:t>acting</w:t>
      </w:r>
      <w:r>
        <w:rPr>
          <w:spacing w:val="37"/>
        </w:rPr>
        <w:t> </w:t>
      </w:r>
      <w:r>
        <w:rPr/>
        <w:t>simultaneously.</w:t>
      </w:r>
      <w:r>
        <w:rPr>
          <w:spacing w:val="37"/>
        </w:rPr>
        <w:t> </w:t>
      </w:r>
      <w:r>
        <w:rPr/>
        <w:t>When</w:t>
      </w:r>
      <w:r>
        <w:rPr>
          <w:spacing w:val="37"/>
        </w:rPr>
        <w:t> </w:t>
      </w:r>
      <w:r>
        <w:rPr/>
        <w:t>these</w:t>
      </w:r>
      <w:r>
        <w:rPr>
          <w:spacing w:val="37"/>
        </w:rPr>
        <w:t> </w:t>
      </w:r>
      <w:r>
        <w:rPr/>
        <w:t>actions</w:t>
      </w:r>
      <w:r>
        <w:rPr>
          <w:spacing w:val="37"/>
        </w:rPr>
        <w:t> </w:t>
      </w:r>
      <w:r>
        <w:rPr/>
        <w:t>are</w:t>
      </w:r>
    </w:p>
    <w:p>
      <w:pPr>
        <w:spacing w:after="0" w:line="312" w:lineRule="auto"/>
        <w:jc w:val="both"/>
        <w:sectPr>
          <w:type w:val="continuous"/>
          <w:pgSz w:w="11910" w:h="16840"/>
          <w:pgMar w:top="580" w:bottom="280" w:left="1240" w:right="1300"/>
        </w:sectPr>
      </w:pPr>
    </w:p>
    <w:p>
      <w:pPr>
        <w:pStyle w:val="BodyText"/>
        <w:spacing w:line="297" w:lineRule="auto" w:before="62"/>
        <w:ind w:left="177" w:right="111"/>
        <w:jc w:val="both"/>
      </w:pPr>
      <w:r>
        <w:rPr/>
        <w:t>independent, perhaps the most important observation is that it is highly unlikely that each action will reach its peak lifetime value at the same moment in time. Thus, considering two time-varying load processes </w:t>
      </w:r>
      <w:r>
        <w:rPr>
          <w:i/>
        </w:rPr>
        <w:t>p</w:t>
      </w:r>
      <w:r>
        <w:rPr>
          <w:i/>
          <w:position w:val="-3"/>
          <w:sz w:val="22"/>
        </w:rPr>
        <w:t>1</w:t>
      </w:r>
      <w:r>
        <w:rPr>
          <w:i/>
        </w:rPr>
        <w:t>(t)</w:t>
      </w:r>
      <w:r>
        <w:rPr/>
        <w:t>, </w:t>
      </w:r>
      <w:r>
        <w:rPr>
          <w:i/>
        </w:rPr>
        <w:t>p</w:t>
      </w:r>
      <w:r>
        <w:rPr>
          <w:i/>
          <w:position w:val="-3"/>
          <w:sz w:val="22"/>
        </w:rPr>
        <w:t>2</w:t>
      </w:r>
      <w:r>
        <w:rPr>
          <w:i/>
        </w:rPr>
        <w:t>(t)</w:t>
      </w:r>
      <w:r>
        <w:rPr/>
        <w:t>, 0 ≤ </w:t>
      </w:r>
      <w:r>
        <w:rPr>
          <w:i/>
        </w:rPr>
        <w:t>t </w:t>
      </w:r>
      <w:r>
        <w:rPr/>
        <w:t>≤ T, acting simultaneously, for which their combined effect may be expressed as a linear combination </w:t>
      </w:r>
      <w:r>
        <w:rPr>
          <w:i/>
        </w:rPr>
        <w:t>p</w:t>
      </w:r>
      <w:r>
        <w:rPr>
          <w:i/>
          <w:position w:val="-3"/>
          <w:sz w:val="22"/>
        </w:rPr>
        <w:t>1</w:t>
      </w:r>
      <w:r>
        <w:rPr>
          <w:i/>
        </w:rPr>
        <w:t>(t)</w:t>
      </w:r>
      <w:r>
        <w:rPr/>
        <w:t>+ </w:t>
      </w:r>
      <w:r>
        <w:rPr>
          <w:i/>
        </w:rPr>
        <w:t>p</w:t>
      </w:r>
      <w:r>
        <w:rPr>
          <w:i/>
          <w:position w:val="-3"/>
          <w:sz w:val="22"/>
        </w:rPr>
        <w:t>2</w:t>
      </w:r>
      <w:r>
        <w:rPr>
          <w:i/>
        </w:rPr>
        <w:t>(t)</w:t>
      </w:r>
      <w:r>
        <w:rPr/>
        <w:t>, the random variable  of interest</w:t>
      </w:r>
      <w:r>
        <w:rPr>
          <w:spacing w:val="-1"/>
        </w:rPr>
        <w:t> </w:t>
      </w:r>
      <w:r>
        <w:rPr/>
        <w:t>is:</w:t>
      </w:r>
    </w:p>
    <w:p>
      <w:pPr>
        <w:pStyle w:val="BodyText"/>
        <w:spacing w:before="9"/>
        <w:rPr>
          <w:sz w:val="32"/>
        </w:rPr>
      </w:pPr>
    </w:p>
    <w:p>
      <w:pPr>
        <w:tabs>
          <w:tab w:pos="7978" w:val="left" w:leader="none"/>
        </w:tabs>
        <w:spacing w:before="0"/>
        <w:ind w:left="886" w:right="0" w:firstLine="0"/>
        <w:jc w:val="left"/>
        <w:rPr>
          <w:sz w:val="24"/>
        </w:rPr>
      </w:pPr>
      <w:r>
        <w:rPr>
          <w:i/>
          <w:sz w:val="24"/>
        </w:rPr>
        <w:t>X </w:t>
      </w:r>
      <w:r>
        <w:rPr>
          <w:sz w:val="24"/>
        </w:rPr>
        <w:t>=  max</w:t>
      </w:r>
      <w:r>
        <w:rPr>
          <w:sz w:val="24"/>
          <w:vertAlign w:val="subscript"/>
        </w:rPr>
        <w:t>T</w:t>
      </w:r>
      <w:r>
        <w:rPr>
          <w:sz w:val="24"/>
          <w:vertAlign w:val="baseline"/>
        </w:rPr>
        <w:t>{</w:t>
      </w:r>
      <w:r>
        <w:rPr>
          <w:spacing w:val="-16"/>
          <w:sz w:val="24"/>
          <w:vertAlign w:val="baseline"/>
        </w:rPr>
        <w:t> </w:t>
      </w:r>
      <w:r>
        <w:rPr>
          <w:i/>
          <w:sz w:val="24"/>
          <w:vertAlign w:val="baseline"/>
        </w:rPr>
        <w:t>p</w:t>
      </w:r>
      <w:r>
        <w:rPr>
          <w:i/>
          <w:position w:val="-3"/>
          <w:sz w:val="22"/>
          <w:vertAlign w:val="baseline"/>
        </w:rPr>
        <w:t>1</w:t>
      </w:r>
      <w:r>
        <w:rPr>
          <w:i/>
          <w:sz w:val="24"/>
          <w:vertAlign w:val="baseline"/>
        </w:rPr>
        <w:t>(t)</w:t>
      </w:r>
      <w:r>
        <w:rPr>
          <w:sz w:val="24"/>
          <w:vertAlign w:val="baseline"/>
        </w:rPr>
        <w:t>+</w:t>
      </w:r>
      <w:r>
        <w:rPr>
          <w:spacing w:val="-4"/>
          <w:sz w:val="24"/>
          <w:vertAlign w:val="baseline"/>
        </w:rPr>
        <w:t> </w:t>
      </w:r>
      <w:r>
        <w:rPr>
          <w:i/>
          <w:sz w:val="24"/>
          <w:vertAlign w:val="baseline"/>
        </w:rPr>
        <w:t>p</w:t>
      </w:r>
      <w:r>
        <w:rPr>
          <w:i/>
          <w:position w:val="-3"/>
          <w:sz w:val="22"/>
          <w:vertAlign w:val="baseline"/>
        </w:rPr>
        <w:t>2</w:t>
      </w:r>
      <w:r>
        <w:rPr>
          <w:i/>
          <w:sz w:val="24"/>
          <w:vertAlign w:val="baseline"/>
        </w:rPr>
        <w:t>(t)</w:t>
      </w:r>
      <w:r>
        <w:rPr>
          <w:sz w:val="24"/>
          <w:vertAlign w:val="baseline"/>
        </w:rPr>
        <w:t>}</w:t>
        <w:tab/>
        <w:t>(C.22a)</w:t>
      </w:r>
    </w:p>
    <w:p>
      <w:pPr>
        <w:pStyle w:val="BodyText"/>
        <w:spacing w:before="6"/>
        <w:rPr>
          <w:sz w:val="35"/>
        </w:rPr>
      </w:pPr>
    </w:p>
    <w:p>
      <w:pPr>
        <w:pStyle w:val="BodyText"/>
        <w:spacing w:line="302" w:lineRule="auto"/>
        <w:ind w:left="177" w:right="112" w:hanging="1"/>
        <w:jc w:val="both"/>
      </w:pPr>
      <w:r>
        <w:rPr/>
        <w:t>If the loads are independent, replacing </w:t>
      </w:r>
      <w:r>
        <w:rPr>
          <w:i/>
        </w:rPr>
        <w:t>X </w:t>
      </w:r>
      <w:r>
        <w:rPr/>
        <w:t>by max</w:t>
      </w:r>
      <w:r>
        <w:rPr>
          <w:vertAlign w:val="subscript"/>
        </w:rPr>
        <w:t>T</w:t>
      </w:r>
      <w:r>
        <w:rPr>
          <w:vertAlign w:val="baseline"/>
        </w:rPr>
        <w:t>{</w:t>
      </w:r>
      <w:r>
        <w:rPr>
          <w:i/>
          <w:vertAlign w:val="baseline"/>
        </w:rPr>
        <w:t>p</w:t>
      </w:r>
      <w:r>
        <w:rPr>
          <w:i/>
          <w:position w:val="-3"/>
          <w:sz w:val="22"/>
          <w:vertAlign w:val="baseline"/>
        </w:rPr>
        <w:t>1</w:t>
      </w:r>
      <w:r>
        <w:rPr>
          <w:i/>
          <w:vertAlign w:val="baseline"/>
        </w:rPr>
        <w:t>(t)</w:t>
      </w:r>
      <w:r>
        <w:rPr>
          <w:vertAlign w:val="baseline"/>
        </w:rPr>
        <w:t>} + max</w:t>
      </w:r>
      <w:r>
        <w:rPr>
          <w:vertAlign w:val="subscript"/>
        </w:rPr>
        <w:t>T</w:t>
      </w:r>
      <w:r>
        <w:rPr>
          <w:vertAlign w:val="baseline"/>
        </w:rPr>
        <w:t>{</w:t>
      </w:r>
      <w:r>
        <w:rPr>
          <w:i/>
          <w:vertAlign w:val="baseline"/>
        </w:rPr>
        <w:t>p</w:t>
      </w:r>
      <w:r>
        <w:rPr>
          <w:i/>
          <w:position w:val="-3"/>
          <w:sz w:val="22"/>
          <w:vertAlign w:val="baseline"/>
        </w:rPr>
        <w:t>2</w:t>
      </w:r>
      <w:r>
        <w:rPr>
          <w:i/>
          <w:vertAlign w:val="baseline"/>
        </w:rPr>
        <w:t>(t)</w:t>
      </w:r>
      <w:r>
        <w:rPr>
          <w:vertAlign w:val="baseline"/>
        </w:rPr>
        <w:t>} leads to very conservative results. However, the distribution of </w:t>
      </w:r>
      <w:r>
        <w:rPr>
          <w:i/>
          <w:vertAlign w:val="baseline"/>
        </w:rPr>
        <w:t>X </w:t>
      </w:r>
      <w:r>
        <w:rPr>
          <w:vertAlign w:val="baseline"/>
        </w:rPr>
        <w:t>can be derived in few cases only. One possible way of dealing with this problem, which also leads to a relatively simple deterministic code format, is to replace </w:t>
      </w:r>
      <w:r>
        <w:rPr>
          <w:i/>
          <w:vertAlign w:val="baseline"/>
        </w:rPr>
        <w:t>X </w:t>
      </w:r>
      <w:r>
        <w:rPr>
          <w:vertAlign w:val="baseline"/>
        </w:rPr>
        <w:t>with the</w:t>
      </w:r>
      <w:r>
        <w:rPr>
          <w:spacing w:val="-3"/>
          <w:vertAlign w:val="baseline"/>
        </w:rPr>
        <w:t> </w:t>
      </w:r>
      <w:r>
        <w:rPr>
          <w:vertAlign w:val="baseline"/>
        </w:rPr>
        <w:t>following</w:t>
      </w:r>
    </w:p>
    <w:p>
      <w:pPr>
        <w:pStyle w:val="BodyText"/>
        <w:rPr>
          <w:sz w:val="26"/>
        </w:rPr>
      </w:pPr>
    </w:p>
    <w:p>
      <w:pPr>
        <w:pStyle w:val="BodyText"/>
        <w:rPr>
          <w:sz w:val="26"/>
        </w:rPr>
      </w:pPr>
    </w:p>
    <w:p>
      <w:pPr>
        <w:pStyle w:val="BodyText"/>
        <w:rPr>
          <w:sz w:val="26"/>
        </w:rPr>
      </w:pPr>
    </w:p>
    <w:p>
      <w:pPr>
        <w:pStyle w:val="BodyText"/>
        <w:rPr>
          <w:sz w:val="26"/>
        </w:rPr>
      </w:pPr>
    </w:p>
    <w:p>
      <w:pPr>
        <w:pStyle w:val="BodyText"/>
        <w:rPr>
          <w:sz w:val="26"/>
        </w:rPr>
      </w:pPr>
    </w:p>
    <w:p>
      <w:pPr>
        <w:pStyle w:val="BodyText"/>
        <w:spacing w:before="8"/>
        <w:rPr>
          <w:sz w:val="23"/>
        </w:rPr>
      </w:pPr>
    </w:p>
    <w:p>
      <w:pPr>
        <w:spacing w:before="1"/>
        <w:ind w:left="2544" w:right="0" w:firstLine="0"/>
        <w:jc w:val="left"/>
        <w:rPr>
          <w:i/>
          <w:sz w:val="24"/>
        </w:rPr>
      </w:pPr>
      <w:r>
        <w:rPr/>
        <w:pict>
          <v:shape style="position:absolute;margin-left:151.259995pt;margin-top:.401598pt;width:36pt;height:83.1pt;mso-position-horizontal-relative:page;mso-position-vertical-relative:paragraph;z-index:-57016" type="#_x0000_t202" filled="false" stroked="false">
            <v:textbox inset="0,0,0,0">
              <w:txbxContent>
                <w:p>
                  <w:pPr>
                    <w:spacing w:line="1661" w:lineRule="exact" w:before="0"/>
                    <w:ind w:left="0" w:right="0" w:firstLine="0"/>
                    <w:jc w:val="left"/>
                    <w:rPr>
                      <w:sz w:val="150"/>
                    </w:rPr>
                  </w:pPr>
                  <w:r>
                    <w:rPr>
                      <w:sz w:val="150"/>
                    </w:rPr>
                    <w:t>{</w:t>
                  </w:r>
                </w:p>
              </w:txbxContent>
            </v:textbox>
            <w10:wrap type="none"/>
          </v:shape>
        </w:pict>
      </w:r>
      <w:r>
        <w:rPr>
          <w:sz w:val="24"/>
        </w:rPr>
        <w:t>max</w:t>
      </w:r>
      <w:r>
        <w:rPr>
          <w:sz w:val="24"/>
          <w:vertAlign w:val="subscript"/>
        </w:rPr>
        <w:t>T</w:t>
      </w:r>
      <w:r>
        <w:rPr>
          <w:sz w:val="24"/>
          <w:vertAlign w:val="baseline"/>
        </w:rPr>
        <w:t>{ </w:t>
      </w:r>
      <w:r>
        <w:rPr>
          <w:i/>
          <w:sz w:val="24"/>
          <w:vertAlign w:val="baseline"/>
        </w:rPr>
        <w:t>p</w:t>
      </w:r>
      <w:r>
        <w:rPr>
          <w:i/>
          <w:position w:val="-3"/>
          <w:sz w:val="22"/>
          <w:vertAlign w:val="baseline"/>
        </w:rPr>
        <w:t>1</w:t>
      </w:r>
      <w:r>
        <w:rPr>
          <w:i/>
          <w:sz w:val="24"/>
          <w:vertAlign w:val="baseline"/>
        </w:rPr>
        <w:t>(t)</w:t>
      </w:r>
      <w:r>
        <w:rPr>
          <w:sz w:val="24"/>
          <w:vertAlign w:val="baseline"/>
        </w:rPr>
        <w:t>} + </w:t>
      </w:r>
      <w:r>
        <w:rPr>
          <w:i/>
          <w:sz w:val="24"/>
          <w:vertAlign w:val="baseline"/>
        </w:rPr>
        <w:t>p</w:t>
      </w:r>
      <w:r>
        <w:rPr>
          <w:i/>
          <w:position w:val="-3"/>
          <w:sz w:val="22"/>
          <w:vertAlign w:val="baseline"/>
        </w:rPr>
        <w:t>2</w:t>
      </w:r>
      <w:r>
        <w:rPr>
          <w:i/>
          <w:sz w:val="24"/>
          <w:vertAlign w:val="baseline"/>
        </w:rPr>
        <w:t>(t)</w:t>
      </w:r>
    </w:p>
    <w:p>
      <w:pPr>
        <w:pStyle w:val="BodyText"/>
        <w:tabs>
          <w:tab w:pos="7978" w:val="left" w:leader="none"/>
        </w:tabs>
        <w:spacing w:before="94"/>
        <w:ind w:left="886"/>
      </w:pPr>
      <w:r>
        <w:rPr>
          <w:i/>
        </w:rPr>
        <w:t>X'</w:t>
      </w:r>
      <w:r>
        <w:rPr>
          <w:i/>
          <w:spacing w:val="-4"/>
        </w:rPr>
        <w:t> </w:t>
      </w:r>
      <w:r>
        <w:rPr/>
        <w:t>=</w:t>
      </w:r>
      <w:r>
        <w:rPr>
          <w:spacing w:val="52"/>
        </w:rPr>
        <w:t> </w:t>
      </w:r>
      <w:r>
        <w:rPr/>
        <w:t>max</w:t>
      </w:r>
      <w:r>
        <w:rPr>
          <w:vertAlign w:val="subscript"/>
        </w:rPr>
        <w:t>T</w:t>
      </w:r>
      <w:r>
        <w:rPr>
          <w:vertAlign w:val="baseline"/>
        </w:rPr>
        <w:tab/>
        <w:t>(C.22b)</w:t>
      </w:r>
    </w:p>
    <w:p>
      <w:pPr>
        <w:spacing w:before="84"/>
        <w:ind w:left="2484" w:right="0" w:firstLine="0"/>
        <w:jc w:val="left"/>
        <w:rPr>
          <w:sz w:val="24"/>
        </w:rPr>
      </w:pPr>
      <w:r>
        <w:rPr>
          <w:i/>
          <w:sz w:val="24"/>
        </w:rPr>
        <w:t>p</w:t>
      </w:r>
      <w:r>
        <w:rPr>
          <w:i/>
          <w:position w:val="-3"/>
          <w:sz w:val="22"/>
        </w:rPr>
        <w:t>1</w:t>
      </w:r>
      <w:r>
        <w:rPr>
          <w:i/>
          <w:sz w:val="24"/>
        </w:rPr>
        <w:t>(t) </w:t>
      </w:r>
      <w:r>
        <w:rPr>
          <w:sz w:val="24"/>
        </w:rPr>
        <w:t>+ max</w:t>
      </w:r>
      <w:r>
        <w:rPr>
          <w:sz w:val="24"/>
          <w:vertAlign w:val="subscript"/>
        </w:rPr>
        <w:t>T</w:t>
      </w:r>
      <w:r>
        <w:rPr>
          <w:sz w:val="24"/>
          <w:vertAlign w:val="baseline"/>
        </w:rPr>
        <w:t>{ </w:t>
      </w:r>
      <w:r>
        <w:rPr>
          <w:i/>
          <w:sz w:val="24"/>
          <w:vertAlign w:val="baseline"/>
        </w:rPr>
        <w:t>p</w:t>
      </w:r>
      <w:r>
        <w:rPr>
          <w:i/>
          <w:position w:val="-3"/>
          <w:sz w:val="22"/>
          <w:vertAlign w:val="baseline"/>
        </w:rPr>
        <w:t>2</w:t>
      </w:r>
      <w:r>
        <w:rPr>
          <w:i/>
          <w:sz w:val="24"/>
          <w:vertAlign w:val="baseline"/>
        </w:rPr>
        <w:t>(t)</w:t>
      </w:r>
      <w:r>
        <w:rPr>
          <w:sz w:val="24"/>
          <w:vertAlign w:val="baseline"/>
        </w:rPr>
        <w:t>}</w:t>
      </w:r>
    </w:p>
    <w:p>
      <w:pPr>
        <w:pStyle w:val="BodyText"/>
        <w:rPr>
          <w:sz w:val="30"/>
        </w:rPr>
      </w:pPr>
    </w:p>
    <w:p>
      <w:pPr>
        <w:pStyle w:val="BodyText"/>
        <w:spacing w:before="9"/>
        <w:rPr>
          <w:sz w:val="36"/>
        </w:rPr>
      </w:pPr>
    </w:p>
    <w:p>
      <w:pPr>
        <w:pStyle w:val="BodyText"/>
        <w:spacing w:line="312" w:lineRule="auto"/>
        <w:ind w:left="177" w:right="109"/>
        <w:jc w:val="both"/>
      </w:pPr>
      <w:r>
        <w:rPr/>
        <w:t>This rule (Turkstra's rule) suggests that the maximum value of the sum of two independent load processes occurs when one of the processes attains its maximum value. This result may be generalised for several independent time-varying loads. The conditions which render this rule adequate for failure probability estimation are discussed in standard texts. Note that the failure probability associated with the sum of a special type of independent identically distributed processes (so-called FBC process) can be calculated in a more accurate way, as will be outlined below. Other results have been obtained for combinations of a number of other processes, starting from Rice’s barrier crossing</w:t>
      </w:r>
      <w:r>
        <w:rPr>
          <w:spacing w:val="-3"/>
        </w:rPr>
        <w:t> </w:t>
      </w:r>
      <w:r>
        <w:rPr/>
        <w:t>formula.</w:t>
      </w:r>
    </w:p>
    <w:p>
      <w:pPr>
        <w:pStyle w:val="BodyText"/>
        <w:spacing w:before="2"/>
        <w:rPr>
          <w:sz w:val="32"/>
        </w:rPr>
      </w:pPr>
    </w:p>
    <w:p>
      <w:pPr>
        <w:pStyle w:val="BodyText"/>
        <w:spacing w:line="312" w:lineRule="auto"/>
        <w:ind w:left="177" w:right="110"/>
        <w:jc w:val="both"/>
      </w:pPr>
      <w:r>
        <w:rPr/>
        <w:t>The FBC (Ferry Borges-Castanheta) process is generated by a sequence of independent identically distributed random variables, each acting over a given (deterministic) time interval. This is shown in Fig. C.11 where the total reference period T is made up of </w:t>
      </w:r>
      <w:r>
        <w:rPr>
          <w:i/>
        </w:rPr>
        <w:t>n</w:t>
      </w:r>
      <w:r>
        <w:rPr>
          <w:i/>
          <w:vertAlign w:val="subscript"/>
        </w:rPr>
        <w:t>i</w:t>
      </w:r>
      <w:r>
        <w:rPr>
          <w:i/>
          <w:vertAlign w:val="baseline"/>
        </w:rPr>
        <w:t> </w:t>
      </w:r>
      <w:r>
        <w:rPr>
          <w:vertAlign w:val="baseline"/>
        </w:rPr>
        <w:t>repetitions where </w:t>
      </w:r>
      <w:r>
        <w:rPr>
          <w:i/>
          <w:vertAlign w:val="baseline"/>
        </w:rPr>
        <w:t>n</w:t>
      </w:r>
      <w:r>
        <w:rPr>
          <w:i/>
          <w:vertAlign w:val="subscript"/>
        </w:rPr>
        <w:t>i</w:t>
      </w:r>
      <w:r>
        <w:rPr>
          <w:vertAlign w:val="baseline"/>
        </w:rPr>
        <w:t>=T/</w:t>
      </w:r>
      <w:r>
        <w:rPr>
          <w:rFonts w:ascii="Arial" w:hAnsi="Arial"/>
          <w:i/>
          <w:sz w:val="23"/>
          <w:vertAlign w:val="baseline"/>
        </w:rPr>
        <w:t>τ</w:t>
      </w:r>
      <w:r>
        <w:rPr>
          <w:i/>
          <w:sz w:val="23"/>
          <w:vertAlign w:val="subscript"/>
        </w:rPr>
        <w:t>i</w:t>
      </w:r>
      <w:r>
        <w:rPr>
          <w:vertAlign w:val="baseline"/>
        </w:rPr>
        <w:t>. Hence, the FBC process is a rectangular pulse process with changes in amplitude occurring at equal intervals. Because of independence, the maximum value in  the reference period T is given by</w:t>
      </w:r>
    </w:p>
    <w:p>
      <w:pPr>
        <w:spacing w:after="0" w:line="312" w:lineRule="auto"/>
        <w:jc w:val="both"/>
        <w:sectPr>
          <w:pgSz w:w="11910" w:h="16840"/>
          <w:pgMar w:header="0" w:footer="788" w:top="1460" w:bottom="980" w:left="1240" w:right="1300"/>
        </w:sectPr>
      </w:pPr>
    </w:p>
    <w:p>
      <w:pPr>
        <w:tabs>
          <w:tab w:pos="7978" w:val="left" w:leader="none"/>
        </w:tabs>
        <w:spacing w:before="78"/>
        <w:ind w:left="886" w:right="0" w:firstLine="0"/>
        <w:jc w:val="left"/>
        <w:rPr>
          <w:sz w:val="24"/>
        </w:rPr>
      </w:pPr>
      <w:r>
        <w:rPr>
          <w:sz w:val="24"/>
        </w:rPr>
        <w:t>F</w:t>
      </w:r>
      <w:r>
        <w:rPr>
          <w:sz w:val="24"/>
          <w:vertAlign w:val="subscript"/>
        </w:rPr>
        <w:t>max</w:t>
      </w:r>
      <w:r>
        <w:rPr>
          <w:position w:val="-9"/>
          <w:sz w:val="18"/>
          <w:vertAlign w:val="baseline"/>
        </w:rPr>
        <w:t>T</w:t>
      </w:r>
      <w:r>
        <w:rPr>
          <w:position w:val="-3"/>
          <w:sz w:val="18"/>
          <w:vertAlign w:val="baseline"/>
        </w:rPr>
        <w:t>X</w:t>
      </w:r>
      <w:r>
        <w:rPr>
          <w:position w:val="-5"/>
          <w:sz w:val="12"/>
          <w:vertAlign w:val="baseline"/>
        </w:rPr>
        <w:t>i</w:t>
      </w:r>
      <w:r>
        <w:rPr>
          <w:sz w:val="24"/>
          <w:vertAlign w:val="baseline"/>
        </w:rPr>
        <w:t>(</w:t>
      </w:r>
      <w:r>
        <w:rPr>
          <w:i/>
          <w:sz w:val="24"/>
          <w:vertAlign w:val="baseline"/>
        </w:rPr>
        <w:t>x</w:t>
      </w:r>
      <w:r>
        <w:rPr>
          <w:i/>
          <w:sz w:val="24"/>
          <w:vertAlign w:val="subscript"/>
        </w:rPr>
        <w:t>i</w:t>
      </w:r>
      <w:r>
        <w:rPr>
          <w:sz w:val="24"/>
          <w:vertAlign w:val="baseline"/>
        </w:rPr>
        <w:t>)=</w:t>
      </w:r>
      <w:r>
        <w:rPr>
          <w:spacing w:val="-9"/>
          <w:sz w:val="24"/>
          <w:vertAlign w:val="baseline"/>
        </w:rPr>
        <w:t> </w:t>
      </w:r>
      <w:r>
        <w:rPr>
          <w:spacing w:val="1"/>
          <w:sz w:val="24"/>
          <w:vertAlign w:val="baseline"/>
        </w:rPr>
        <w:t>[F</w:t>
      </w:r>
      <w:r>
        <w:rPr>
          <w:spacing w:val="1"/>
          <w:sz w:val="24"/>
          <w:vertAlign w:val="subscript"/>
        </w:rPr>
        <w:t>X</w:t>
      </w:r>
      <w:r>
        <w:rPr>
          <w:spacing w:val="1"/>
          <w:position w:val="-5"/>
          <w:sz w:val="12"/>
          <w:vertAlign w:val="baseline"/>
        </w:rPr>
        <w:t>i</w:t>
      </w:r>
      <w:r>
        <w:rPr>
          <w:spacing w:val="1"/>
          <w:sz w:val="24"/>
          <w:vertAlign w:val="baseline"/>
        </w:rPr>
        <w:t>(</w:t>
      </w:r>
      <w:r>
        <w:rPr>
          <w:i/>
          <w:spacing w:val="1"/>
          <w:sz w:val="24"/>
          <w:vertAlign w:val="baseline"/>
        </w:rPr>
        <w:t>x</w:t>
      </w:r>
      <w:r>
        <w:rPr>
          <w:i/>
          <w:spacing w:val="1"/>
          <w:sz w:val="24"/>
          <w:vertAlign w:val="subscript"/>
        </w:rPr>
        <w:t>i</w:t>
      </w:r>
      <w:r>
        <w:rPr>
          <w:spacing w:val="1"/>
          <w:sz w:val="24"/>
          <w:vertAlign w:val="baseline"/>
        </w:rPr>
        <w:t>)]</w:t>
      </w:r>
      <w:r>
        <w:rPr>
          <w:i/>
          <w:spacing w:val="1"/>
          <w:position w:val="8"/>
          <w:sz w:val="18"/>
          <w:vertAlign w:val="baseline"/>
        </w:rPr>
        <w:t>n</w:t>
      </w:r>
      <w:r>
        <w:rPr>
          <w:i/>
          <w:spacing w:val="1"/>
          <w:position w:val="6"/>
          <w:sz w:val="12"/>
          <w:vertAlign w:val="baseline"/>
        </w:rPr>
        <w:t>i</w:t>
        <w:tab/>
      </w:r>
      <w:r>
        <w:rPr>
          <w:position w:val="-9"/>
          <w:sz w:val="24"/>
          <w:vertAlign w:val="baseline"/>
        </w:rPr>
        <w:t>(C.23)</w:t>
      </w:r>
    </w:p>
    <w:p>
      <w:pPr>
        <w:pStyle w:val="BodyText"/>
        <w:spacing w:before="7"/>
        <w:rPr>
          <w:sz w:val="38"/>
        </w:rPr>
      </w:pPr>
    </w:p>
    <w:p>
      <w:pPr>
        <w:pStyle w:val="BodyText"/>
        <w:spacing w:line="312" w:lineRule="auto"/>
        <w:ind w:left="177" w:right="111"/>
        <w:jc w:val="both"/>
      </w:pPr>
      <w:r>
        <w:rPr/>
        <w:t>When a number of FBC processes act in combination and the ratios of their repetition numbers within a given reference period are given by positive integers it is, in principle, possible to obtain the extreme value distribution of the combination through a recursive formula. More importantly, it is possible to deal with the sum of FBC processes by implementing the Rackwitz-Fiessler algorithm in a FORM/SORM</w:t>
      </w:r>
      <w:r>
        <w:rPr>
          <w:spacing w:val="-7"/>
        </w:rPr>
        <w:t> </w:t>
      </w:r>
      <w:r>
        <w:rPr/>
        <w:t>analysis.</w:t>
      </w:r>
    </w:p>
    <w:p>
      <w:pPr>
        <w:pStyle w:val="BodyText"/>
        <w:spacing w:before="3"/>
        <w:rPr>
          <w:sz w:val="26"/>
        </w:rPr>
      </w:pPr>
    </w:p>
    <w:p>
      <w:pPr>
        <w:pStyle w:val="BodyText"/>
        <w:spacing w:line="360" w:lineRule="exact"/>
        <w:ind w:left="177" w:right="110"/>
        <w:jc w:val="both"/>
      </w:pPr>
      <w:r>
        <w:rPr/>
        <w:t>A deterministic code format, compatible with the above rules, leads to the introduction of combination factors, </w:t>
      </w:r>
      <w:r>
        <w:rPr>
          <w:rFonts w:ascii="Arial" w:hAnsi="Arial"/>
          <w:sz w:val="22"/>
        </w:rPr>
        <w:t>ψ</w:t>
      </w:r>
      <w:r>
        <w:rPr>
          <w:position w:val="-3"/>
        </w:rPr>
        <w:t>o</w:t>
      </w:r>
      <w:r>
        <w:rPr>
          <w:i/>
          <w:position w:val="-3"/>
        </w:rPr>
        <w:t>i</w:t>
      </w:r>
      <w:r>
        <w:rPr/>
        <w:t>, for each time-varying load </w:t>
      </w:r>
      <w:r>
        <w:rPr>
          <w:i/>
        </w:rPr>
        <w:t>i</w:t>
      </w:r>
      <w:r>
        <w:rPr/>
        <w:t>. In principle, these factors express ratios between fractiles in the extreme value and point-in-time distributions so that the probability of exceeding the design value arising from a combination of loads is of the same order as the probability of exceeding the design value caused by one load. For time-varying loads, they would depend on distribution parameters, target reliability and FORM/SORM sensitivity factors and on the frequency characteristics (i.e. the base period assumed for stationary events) of loads considered within any particular</w:t>
      </w:r>
      <w:r>
        <w:rPr>
          <w:spacing w:val="-2"/>
        </w:rPr>
        <w:t> </w:t>
      </w:r>
      <w:r>
        <w:rPr/>
        <w:t>combination.</w:t>
      </w:r>
    </w:p>
    <w:p>
      <w:pPr>
        <w:pStyle w:val="BodyText"/>
        <w:rPr>
          <w:sz w:val="26"/>
        </w:rPr>
      </w:pPr>
    </w:p>
    <w:p>
      <w:pPr>
        <w:pStyle w:val="BodyText"/>
        <w:spacing w:before="7"/>
        <w:rPr>
          <w:sz w:val="38"/>
        </w:rPr>
      </w:pPr>
    </w:p>
    <w:p>
      <w:pPr>
        <w:pStyle w:val="ListParagraph"/>
        <w:numPr>
          <w:ilvl w:val="2"/>
          <w:numId w:val="24"/>
        </w:numPr>
        <w:tabs>
          <w:tab w:pos="1085" w:val="left" w:leader="none"/>
        </w:tabs>
        <w:spacing w:line="240" w:lineRule="auto" w:before="0" w:after="0"/>
        <w:ind w:left="1084" w:right="0" w:hanging="907"/>
        <w:jc w:val="both"/>
        <w:rPr>
          <w:sz w:val="18"/>
        </w:rPr>
      </w:pPr>
      <w:r>
        <w:rPr>
          <w:sz w:val="24"/>
          <w:u w:val="single"/>
        </w:rPr>
        <w:t>Introduction to Crossing Theory</w:t>
      </w:r>
    </w:p>
    <w:p>
      <w:pPr>
        <w:pStyle w:val="BodyText"/>
        <w:spacing w:before="4"/>
        <w:rPr>
          <w:sz w:val="20"/>
        </w:rPr>
      </w:pPr>
    </w:p>
    <w:p>
      <w:pPr>
        <w:pStyle w:val="BodyText"/>
        <w:spacing w:line="312" w:lineRule="auto" w:before="90"/>
        <w:ind w:left="177" w:right="111"/>
        <w:jc w:val="both"/>
      </w:pPr>
      <w:r>
        <w:rPr/>
        <w:t>In considering a time-dependent safety margin, i.e. M(</w:t>
      </w:r>
      <w:r>
        <w:rPr>
          <w:i/>
        </w:rPr>
        <w:t>t</w:t>
      </w:r>
      <w:r>
        <w:rPr/>
        <w:t>) = </w:t>
      </w:r>
      <w:r>
        <w:rPr>
          <w:i/>
        </w:rPr>
        <w:t>g </w:t>
      </w:r>
      <w:r>
        <w:rPr/>
        <w:t>(</w:t>
      </w:r>
      <w:r>
        <w:rPr>
          <w:b/>
        </w:rPr>
        <w:t>X</w:t>
      </w:r>
      <w:r>
        <w:rPr/>
        <w:t>(</w:t>
      </w:r>
      <w:r>
        <w:rPr>
          <w:i/>
        </w:rPr>
        <w:t>t</w:t>
      </w:r>
      <w:r>
        <w:rPr/>
        <w:t>) ), the problem is  to establish the probability that M(</w:t>
      </w:r>
      <w:r>
        <w:rPr>
          <w:i/>
        </w:rPr>
        <w:t>t</w:t>
      </w:r>
      <w:r>
        <w:rPr/>
        <w:t>) becomes zero or less in a reference time period, </w:t>
      </w:r>
      <w:r>
        <w:rPr>
          <w:i/>
        </w:rPr>
        <w:t>t</w:t>
      </w:r>
      <w:r>
        <w:rPr>
          <w:vertAlign w:val="subscript"/>
        </w:rPr>
        <w:t>L</w:t>
      </w:r>
      <w:r>
        <w:rPr>
          <w:vertAlign w:val="baseline"/>
        </w:rPr>
        <w:t>. As mentioned previously, this constitutes a so-called 'crossing' problem. The time at which M(</w:t>
      </w:r>
      <w:r>
        <w:rPr>
          <w:i/>
          <w:vertAlign w:val="baseline"/>
        </w:rPr>
        <w:t>t</w:t>
      </w:r>
      <w:r>
        <w:rPr>
          <w:vertAlign w:val="baseline"/>
        </w:rPr>
        <w:t>) becomes less than zero for the first time is called the 'time to failure' and is a random variable, see Fig. C.12(a), or, in a basic variable space, Fig. C.12(b). The probability that M(</w:t>
      </w:r>
      <w:r>
        <w:rPr>
          <w:i/>
          <w:vertAlign w:val="baseline"/>
        </w:rPr>
        <w:t>t</w:t>
      </w:r>
      <w:r>
        <w:rPr>
          <w:vertAlign w:val="baseline"/>
        </w:rPr>
        <w:t>) ≤0 occurs during </w:t>
      </w:r>
      <w:r>
        <w:rPr>
          <w:i/>
          <w:vertAlign w:val="baseline"/>
        </w:rPr>
        <w:t>t</w:t>
      </w:r>
      <w:r>
        <w:rPr>
          <w:vertAlign w:val="subscript"/>
        </w:rPr>
        <w:t>L</w:t>
      </w:r>
      <w:r>
        <w:rPr>
          <w:vertAlign w:val="baseline"/>
        </w:rPr>
        <w:t> is called the'first-passage' probability. Clearly, it is identical to the  probability of failure during time</w:t>
      </w:r>
      <w:r>
        <w:rPr>
          <w:spacing w:val="-2"/>
          <w:vertAlign w:val="baseline"/>
        </w:rPr>
        <w:t> </w:t>
      </w:r>
      <w:r>
        <w:rPr>
          <w:i/>
          <w:vertAlign w:val="baseline"/>
        </w:rPr>
        <w:t>t</w:t>
      </w:r>
      <w:r>
        <w:rPr>
          <w:vertAlign w:val="subscript"/>
        </w:rPr>
        <w:t>L</w:t>
      </w:r>
      <w:r>
        <w:rPr>
          <w:vertAlign w:val="baseline"/>
        </w:rPr>
        <w:t>.</w:t>
      </w:r>
    </w:p>
    <w:p>
      <w:pPr>
        <w:pStyle w:val="BodyText"/>
        <w:spacing w:before="1"/>
        <w:rPr>
          <w:sz w:val="32"/>
        </w:rPr>
      </w:pPr>
    </w:p>
    <w:p>
      <w:pPr>
        <w:pStyle w:val="BodyText"/>
        <w:spacing w:line="312" w:lineRule="auto"/>
        <w:ind w:left="177" w:right="112"/>
        <w:jc w:val="both"/>
      </w:pPr>
      <w:r>
        <w:rPr/>
        <w:t>The determination of the first passage probability requires an understanding of the theory of random processes. Herein, only some basic concepts are introduced in order to see how the methods described above have to be modified in dealing with crossing problems.</w:t>
      </w:r>
    </w:p>
    <w:p>
      <w:pPr>
        <w:pStyle w:val="BodyText"/>
        <w:spacing w:before="3"/>
        <w:ind w:left="177"/>
      </w:pPr>
      <w:r>
        <w:rPr/>
        <w:t>The first-passage probability, </w:t>
      </w:r>
      <w:r>
        <w:rPr>
          <w:i/>
        </w:rPr>
        <w:t>P</w:t>
      </w:r>
      <w:r>
        <w:rPr>
          <w:i/>
          <w:position w:val="-3"/>
          <w:sz w:val="22"/>
        </w:rPr>
        <w:t>f</w:t>
      </w:r>
      <w:r>
        <w:rPr/>
        <w:t>(</w:t>
      </w:r>
      <w:r>
        <w:rPr>
          <w:i/>
        </w:rPr>
        <w:t>t</w:t>
      </w:r>
      <w:r>
        <w:rPr/>
        <w:t>) during a period [0, </w:t>
      </w:r>
      <w:r>
        <w:rPr>
          <w:i/>
        </w:rPr>
        <w:t>t</w:t>
      </w:r>
      <w:r>
        <w:rPr>
          <w:vertAlign w:val="subscript"/>
        </w:rPr>
        <w:t>L</w:t>
      </w:r>
      <w:r>
        <w:rPr>
          <w:vertAlign w:val="baseline"/>
        </w:rPr>
        <w:t>] is</w:t>
      </w:r>
    </w:p>
    <w:p>
      <w:pPr>
        <w:pStyle w:val="BodyText"/>
        <w:spacing w:before="10"/>
        <w:rPr>
          <w:sz w:val="31"/>
        </w:rPr>
      </w:pPr>
    </w:p>
    <w:p>
      <w:pPr>
        <w:tabs>
          <w:tab w:pos="7978" w:val="left" w:leader="none"/>
        </w:tabs>
        <w:spacing w:before="1"/>
        <w:ind w:left="891" w:right="0" w:firstLine="0"/>
        <w:jc w:val="left"/>
        <w:rPr>
          <w:sz w:val="24"/>
        </w:rPr>
      </w:pPr>
      <w:r>
        <w:rPr>
          <w:i/>
          <w:spacing w:val="2"/>
          <w:position w:val="1"/>
          <w:sz w:val="22"/>
        </w:rPr>
        <w:t>P</w:t>
      </w:r>
      <w:r>
        <w:rPr>
          <w:i/>
          <w:spacing w:val="2"/>
          <w:position w:val="1"/>
          <w:sz w:val="22"/>
          <w:vertAlign w:val="subscript"/>
        </w:rPr>
        <w:t>f</w:t>
      </w:r>
      <w:r>
        <w:rPr>
          <w:spacing w:val="2"/>
          <w:position w:val="1"/>
          <w:sz w:val="22"/>
          <w:vertAlign w:val="baseline"/>
        </w:rPr>
        <w:t>(</w:t>
      </w:r>
      <w:r>
        <w:rPr>
          <w:i/>
          <w:spacing w:val="2"/>
          <w:position w:val="1"/>
          <w:sz w:val="22"/>
          <w:vertAlign w:val="baseline"/>
        </w:rPr>
        <w:t>t</w:t>
      </w:r>
      <w:r>
        <w:rPr>
          <w:spacing w:val="2"/>
          <w:position w:val="-1"/>
          <w:sz w:val="18"/>
          <w:vertAlign w:val="baseline"/>
        </w:rPr>
        <w:t>L</w:t>
      </w:r>
      <w:r>
        <w:rPr>
          <w:spacing w:val="2"/>
          <w:position w:val="1"/>
          <w:sz w:val="22"/>
          <w:vertAlign w:val="baseline"/>
        </w:rPr>
        <w:t>) </w:t>
      </w:r>
      <w:r>
        <w:rPr>
          <w:position w:val="1"/>
          <w:sz w:val="22"/>
          <w:vertAlign w:val="baseline"/>
        </w:rPr>
        <w:t>= 1 - P[ </w:t>
      </w:r>
      <w:r>
        <w:rPr>
          <w:i/>
          <w:position w:val="1"/>
          <w:sz w:val="22"/>
          <w:vertAlign w:val="baseline"/>
        </w:rPr>
        <w:t>N </w:t>
      </w:r>
      <w:r>
        <w:rPr>
          <w:position w:val="1"/>
          <w:sz w:val="22"/>
          <w:vertAlign w:val="baseline"/>
        </w:rPr>
        <w:t>(</w:t>
      </w:r>
      <w:r>
        <w:rPr>
          <w:i/>
          <w:position w:val="1"/>
          <w:sz w:val="22"/>
          <w:vertAlign w:val="baseline"/>
        </w:rPr>
        <w:t>t</w:t>
      </w:r>
      <w:r>
        <w:rPr>
          <w:position w:val="-1"/>
          <w:sz w:val="18"/>
          <w:vertAlign w:val="baseline"/>
        </w:rPr>
        <w:t>L</w:t>
      </w:r>
      <w:r>
        <w:rPr>
          <w:position w:val="1"/>
          <w:sz w:val="22"/>
          <w:vertAlign w:val="baseline"/>
        </w:rPr>
        <w:t>)=0  | </w:t>
      </w:r>
      <w:r>
        <w:rPr>
          <w:b/>
          <w:position w:val="1"/>
          <w:sz w:val="22"/>
          <w:vertAlign w:val="baseline"/>
        </w:rPr>
        <w:t>X </w:t>
      </w:r>
      <w:r>
        <w:rPr>
          <w:position w:val="1"/>
          <w:sz w:val="22"/>
          <w:vertAlign w:val="baseline"/>
        </w:rPr>
        <w:t>(0) </w:t>
      </w:r>
      <w:r>
        <w:rPr>
          <w:rFonts w:ascii="Arial" w:hAnsi="Arial"/>
          <w:position w:val="0"/>
          <w:sz w:val="22"/>
          <w:vertAlign w:val="baseline"/>
        </w:rPr>
        <w:t>∈</w:t>
      </w:r>
      <w:r>
        <w:rPr>
          <w:i/>
          <w:position w:val="1"/>
          <w:sz w:val="22"/>
          <w:vertAlign w:val="baseline"/>
        </w:rPr>
        <w:t>D</w:t>
      </w:r>
      <w:r>
        <w:rPr>
          <w:position w:val="1"/>
          <w:sz w:val="22"/>
          <w:vertAlign w:val="baseline"/>
        </w:rPr>
        <w:t>] </w:t>
      </w:r>
      <w:r>
        <w:rPr>
          <w:i/>
          <w:spacing w:val="3"/>
          <w:position w:val="1"/>
          <w:sz w:val="22"/>
          <w:vertAlign w:val="baseline"/>
        </w:rPr>
        <w:t>P</w:t>
      </w:r>
      <w:r>
        <w:rPr>
          <w:spacing w:val="3"/>
          <w:position w:val="1"/>
          <w:sz w:val="22"/>
          <w:vertAlign w:val="baseline"/>
        </w:rPr>
        <w:t>[</w:t>
      </w:r>
      <w:r>
        <w:rPr>
          <w:b/>
          <w:spacing w:val="3"/>
          <w:position w:val="1"/>
          <w:sz w:val="22"/>
          <w:vertAlign w:val="baseline"/>
        </w:rPr>
        <w:t>X</w:t>
      </w:r>
      <w:r>
        <w:rPr>
          <w:b/>
          <w:spacing w:val="10"/>
          <w:position w:val="1"/>
          <w:sz w:val="22"/>
          <w:vertAlign w:val="baseline"/>
        </w:rPr>
        <w:t> </w:t>
      </w:r>
      <w:r>
        <w:rPr>
          <w:position w:val="1"/>
          <w:sz w:val="22"/>
          <w:vertAlign w:val="baseline"/>
        </w:rPr>
        <w:t>(0)</w:t>
      </w:r>
      <w:r>
        <w:rPr>
          <w:spacing w:val="22"/>
          <w:position w:val="1"/>
          <w:sz w:val="22"/>
          <w:vertAlign w:val="baseline"/>
        </w:rPr>
        <w:t> </w:t>
      </w:r>
      <w:r>
        <w:rPr>
          <w:rFonts w:ascii="Arial" w:hAnsi="Arial"/>
          <w:position w:val="0"/>
          <w:sz w:val="22"/>
          <w:vertAlign w:val="baseline"/>
        </w:rPr>
        <w:t>∈</w:t>
      </w:r>
      <w:r>
        <w:rPr>
          <w:i/>
          <w:position w:val="1"/>
          <w:sz w:val="22"/>
          <w:vertAlign w:val="baseline"/>
        </w:rPr>
        <w:t>D</w:t>
      </w:r>
      <w:r>
        <w:rPr>
          <w:position w:val="1"/>
          <w:sz w:val="22"/>
          <w:vertAlign w:val="baseline"/>
        </w:rPr>
        <w:t>]</w:t>
        <w:tab/>
      </w:r>
      <w:r>
        <w:rPr>
          <w:position w:val="-6"/>
          <w:sz w:val="24"/>
          <w:vertAlign w:val="baseline"/>
        </w:rPr>
        <w:t>(C.24a)</w:t>
      </w:r>
    </w:p>
    <w:p>
      <w:pPr>
        <w:pStyle w:val="BodyText"/>
        <w:spacing w:line="297" w:lineRule="auto" w:before="147"/>
        <w:ind w:left="177" w:right="112" w:hanging="1"/>
        <w:jc w:val="both"/>
      </w:pPr>
      <w:r>
        <w:rPr/>
        <w:t>where </w:t>
      </w:r>
      <w:r>
        <w:rPr>
          <w:b/>
        </w:rPr>
        <w:t>X</w:t>
      </w:r>
      <w:r>
        <w:rPr/>
        <w:t>(0)</w:t>
      </w:r>
      <w:r>
        <w:rPr>
          <w:rFonts w:ascii="Arial" w:hAnsi="Arial"/>
        </w:rPr>
        <w:t>∈</w:t>
      </w:r>
      <w:r>
        <w:rPr>
          <w:i/>
        </w:rPr>
        <w:t>D </w:t>
      </w:r>
      <w:r>
        <w:rPr/>
        <w:t>signifies that the process </w:t>
      </w:r>
      <w:r>
        <w:rPr>
          <w:b/>
        </w:rPr>
        <w:t>X</w:t>
      </w:r>
      <w:r>
        <w:rPr/>
        <w:t>(</w:t>
      </w:r>
      <w:r>
        <w:rPr>
          <w:i/>
        </w:rPr>
        <w:t>t</w:t>
      </w:r>
      <w:r>
        <w:rPr/>
        <w:t>) starts in the safe domain and </w:t>
      </w:r>
      <w:r>
        <w:rPr>
          <w:i/>
        </w:rPr>
        <w:t>N(t</w:t>
      </w:r>
      <w:r>
        <w:rPr>
          <w:vertAlign w:val="subscript"/>
        </w:rPr>
        <w:t>L</w:t>
      </w:r>
      <w:r>
        <w:rPr>
          <w:i/>
          <w:vertAlign w:val="baseline"/>
        </w:rPr>
        <w:t>) </w:t>
      </w:r>
      <w:r>
        <w:rPr>
          <w:vertAlign w:val="baseline"/>
        </w:rPr>
        <w:t>is the </w:t>
      </w:r>
      <w:r>
        <w:rPr>
          <w:spacing w:val="-5"/>
          <w:vertAlign w:val="baseline"/>
        </w:rPr>
        <w:t>number </w:t>
      </w:r>
      <w:r>
        <w:rPr>
          <w:vertAlign w:val="baseline"/>
        </w:rPr>
        <w:t>of outcrossings in the interval [0, </w:t>
      </w:r>
      <w:r>
        <w:rPr>
          <w:i/>
          <w:vertAlign w:val="baseline"/>
        </w:rPr>
        <w:t>t</w:t>
      </w:r>
      <w:r>
        <w:rPr>
          <w:vertAlign w:val="subscript"/>
        </w:rPr>
        <w:t>L</w:t>
      </w:r>
      <w:r>
        <w:rPr>
          <w:vertAlign w:val="baseline"/>
        </w:rPr>
        <w:t>]. The second probability term is equivalent to 1 - </w:t>
      </w:r>
      <w:r>
        <w:rPr>
          <w:i/>
          <w:vertAlign w:val="baseline"/>
        </w:rPr>
        <w:t>P</w:t>
      </w:r>
      <w:r>
        <w:rPr>
          <w:i/>
          <w:position w:val="-3"/>
          <w:sz w:val="22"/>
          <w:vertAlign w:val="baseline"/>
        </w:rPr>
        <w:t>f</w:t>
      </w:r>
      <w:r>
        <w:rPr>
          <w:i/>
          <w:vertAlign w:val="baseline"/>
        </w:rPr>
        <w:t>(</w:t>
      </w:r>
      <w:r>
        <w:rPr>
          <w:vertAlign w:val="baseline"/>
        </w:rPr>
        <w:t>0), where </w:t>
      </w:r>
      <w:r>
        <w:rPr>
          <w:i/>
          <w:vertAlign w:val="baseline"/>
        </w:rPr>
        <w:t>P</w:t>
      </w:r>
      <w:r>
        <w:rPr>
          <w:i/>
          <w:position w:val="-3"/>
          <w:sz w:val="22"/>
          <w:vertAlign w:val="baseline"/>
        </w:rPr>
        <w:t>f</w:t>
      </w:r>
      <w:r>
        <w:rPr>
          <w:i/>
          <w:vertAlign w:val="baseline"/>
        </w:rPr>
        <w:t>(</w:t>
      </w:r>
      <w:r>
        <w:rPr>
          <w:vertAlign w:val="baseline"/>
        </w:rPr>
        <w:t>0) is the probability of failure at </w:t>
      </w:r>
      <w:r>
        <w:rPr>
          <w:i/>
          <w:vertAlign w:val="baseline"/>
        </w:rPr>
        <w:t>t</w:t>
      </w:r>
      <w:r>
        <w:rPr>
          <w:vertAlign w:val="baseline"/>
        </w:rPr>
        <w:t>=0. Equation (C.28a) can be re-written as</w:t>
      </w:r>
    </w:p>
    <w:p>
      <w:pPr>
        <w:spacing w:after="0" w:line="297" w:lineRule="auto"/>
        <w:jc w:val="both"/>
        <w:sectPr>
          <w:pgSz w:w="11910" w:h="16840"/>
          <w:pgMar w:header="0" w:footer="788" w:top="1320" w:bottom="980" w:left="1240" w:right="1300"/>
        </w:sectPr>
      </w:pPr>
    </w:p>
    <w:p>
      <w:pPr>
        <w:tabs>
          <w:tab w:pos="7978" w:val="left" w:leader="none"/>
        </w:tabs>
        <w:spacing w:before="62"/>
        <w:ind w:left="888" w:right="0" w:firstLine="0"/>
        <w:jc w:val="left"/>
        <w:rPr>
          <w:sz w:val="24"/>
        </w:rPr>
      </w:pPr>
      <w:r>
        <w:rPr>
          <w:i/>
          <w:spacing w:val="5"/>
          <w:position w:val="1"/>
          <w:sz w:val="24"/>
        </w:rPr>
        <w:t>P</w:t>
      </w:r>
      <w:r>
        <w:rPr>
          <w:i/>
          <w:spacing w:val="5"/>
          <w:position w:val="1"/>
          <w:sz w:val="24"/>
          <w:vertAlign w:val="subscript"/>
        </w:rPr>
        <w:t>f</w:t>
      </w:r>
      <w:r>
        <w:rPr>
          <w:spacing w:val="5"/>
          <w:position w:val="1"/>
          <w:sz w:val="24"/>
          <w:vertAlign w:val="baseline"/>
        </w:rPr>
        <w:t>(</w:t>
      </w:r>
      <w:r>
        <w:rPr>
          <w:i/>
          <w:spacing w:val="5"/>
          <w:position w:val="1"/>
          <w:sz w:val="24"/>
          <w:vertAlign w:val="baseline"/>
        </w:rPr>
        <w:t>t</w:t>
      </w:r>
      <w:r>
        <w:rPr>
          <w:spacing w:val="5"/>
          <w:sz w:val="18"/>
          <w:vertAlign w:val="baseline"/>
        </w:rPr>
        <w:t>L</w:t>
      </w:r>
      <w:r>
        <w:rPr>
          <w:spacing w:val="5"/>
          <w:position w:val="1"/>
          <w:sz w:val="24"/>
          <w:vertAlign w:val="baseline"/>
        </w:rPr>
        <w:t>)= </w:t>
      </w:r>
      <w:r>
        <w:rPr>
          <w:i/>
          <w:position w:val="1"/>
          <w:sz w:val="24"/>
          <w:vertAlign w:val="baseline"/>
        </w:rPr>
        <w:t>P</w:t>
      </w:r>
      <w:r>
        <w:rPr>
          <w:i/>
          <w:position w:val="1"/>
          <w:sz w:val="24"/>
          <w:vertAlign w:val="subscript"/>
        </w:rPr>
        <w:t>f</w:t>
      </w:r>
      <w:r>
        <w:rPr>
          <w:position w:val="1"/>
          <w:sz w:val="24"/>
          <w:vertAlign w:val="baseline"/>
        </w:rPr>
        <w:t>(0) + </w:t>
      </w:r>
      <w:r>
        <w:rPr>
          <w:spacing w:val="22"/>
          <w:position w:val="1"/>
          <w:sz w:val="26"/>
          <w:vertAlign w:val="baseline"/>
        </w:rPr>
        <w:t>(</w:t>
      </w:r>
      <w:r>
        <w:rPr>
          <w:spacing w:val="22"/>
          <w:position w:val="1"/>
          <w:sz w:val="24"/>
          <w:vertAlign w:val="baseline"/>
        </w:rPr>
        <w:t>1- </w:t>
      </w:r>
      <w:r>
        <w:rPr>
          <w:i/>
          <w:position w:val="1"/>
          <w:sz w:val="24"/>
          <w:vertAlign w:val="baseline"/>
        </w:rPr>
        <w:t>P</w:t>
      </w:r>
      <w:r>
        <w:rPr>
          <w:i/>
          <w:position w:val="1"/>
          <w:sz w:val="24"/>
          <w:vertAlign w:val="subscript"/>
        </w:rPr>
        <w:t>f</w:t>
      </w:r>
      <w:r>
        <w:rPr>
          <w:position w:val="1"/>
          <w:sz w:val="24"/>
          <w:vertAlign w:val="baseline"/>
        </w:rPr>
        <w:t>(0)</w:t>
      </w:r>
      <w:r>
        <w:rPr>
          <w:position w:val="1"/>
          <w:sz w:val="26"/>
          <w:vertAlign w:val="baseline"/>
        </w:rPr>
        <w:t>)</w:t>
      </w:r>
      <w:r>
        <w:rPr>
          <w:spacing w:val="-10"/>
          <w:position w:val="1"/>
          <w:sz w:val="26"/>
          <w:vertAlign w:val="baseline"/>
        </w:rPr>
        <w:t> </w:t>
      </w:r>
      <w:r>
        <w:rPr>
          <w:spacing w:val="22"/>
          <w:position w:val="1"/>
          <w:sz w:val="26"/>
          <w:vertAlign w:val="baseline"/>
        </w:rPr>
        <w:t>(</w:t>
      </w:r>
      <w:r>
        <w:rPr>
          <w:spacing w:val="22"/>
          <w:position w:val="1"/>
          <w:sz w:val="24"/>
          <w:vertAlign w:val="baseline"/>
        </w:rPr>
        <w:t>1-</w:t>
      </w:r>
      <w:r>
        <w:rPr>
          <w:spacing w:val="0"/>
          <w:position w:val="1"/>
          <w:sz w:val="24"/>
          <w:vertAlign w:val="baseline"/>
        </w:rPr>
        <w:t> </w:t>
      </w:r>
      <w:r>
        <w:rPr>
          <w:position w:val="1"/>
          <w:sz w:val="24"/>
          <w:vertAlign w:val="baseline"/>
        </w:rPr>
        <w:t>P[</w:t>
      </w:r>
      <w:r>
        <w:rPr>
          <w:i/>
          <w:position w:val="1"/>
          <w:sz w:val="24"/>
          <w:vertAlign w:val="baseline"/>
        </w:rPr>
        <w:t>N</w:t>
      </w:r>
      <w:r>
        <w:rPr>
          <w:position w:val="1"/>
          <w:sz w:val="24"/>
          <w:vertAlign w:val="baseline"/>
        </w:rPr>
        <w:t>(</w:t>
      </w:r>
      <w:r>
        <w:rPr>
          <w:i/>
          <w:position w:val="1"/>
          <w:sz w:val="24"/>
          <w:vertAlign w:val="baseline"/>
        </w:rPr>
        <w:t>t</w:t>
      </w:r>
      <w:r>
        <w:rPr>
          <w:sz w:val="18"/>
          <w:vertAlign w:val="baseline"/>
        </w:rPr>
        <w:t>L</w:t>
      </w:r>
      <w:r>
        <w:rPr>
          <w:position w:val="1"/>
          <w:sz w:val="24"/>
          <w:vertAlign w:val="baseline"/>
        </w:rPr>
        <w:t>)=0]</w:t>
      </w:r>
      <w:r>
        <w:rPr>
          <w:position w:val="1"/>
          <w:sz w:val="26"/>
          <w:vertAlign w:val="baseline"/>
        </w:rPr>
        <w:t>)</w:t>
        <w:tab/>
      </w:r>
      <w:r>
        <w:rPr>
          <w:position w:val="-4"/>
          <w:sz w:val="24"/>
          <w:vertAlign w:val="baseline"/>
        </w:rPr>
        <w:t>(C.24b)</w:t>
      </w:r>
    </w:p>
    <w:p>
      <w:pPr>
        <w:pStyle w:val="BodyText"/>
        <w:spacing w:line="312" w:lineRule="auto" w:before="145"/>
        <w:ind w:left="177" w:right="112"/>
        <w:jc w:val="both"/>
      </w:pPr>
      <w:r>
        <w:rPr/>
        <w:t>from which different approximations may be derived depending on the relative magnitude of the terms. A useful bound is</w:t>
      </w:r>
    </w:p>
    <w:p>
      <w:pPr>
        <w:pStyle w:val="BodyText"/>
        <w:spacing w:before="10"/>
        <w:rPr>
          <w:sz w:val="27"/>
        </w:rPr>
      </w:pPr>
    </w:p>
    <w:p>
      <w:pPr>
        <w:tabs>
          <w:tab w:pos="7978" w:val="left" w:leader="none"/>
        </w:tabs>
        <w:spacing w:before="0"/>
        <w:ind w:left="879" w:right="0" w:firstLine="0"/>
        <w:jc w:val="left"/>
        <w:rPr>
          <w:sz w:val="24"/>
        </w:rPr>
      </w:pPr>
      <w:r>
        <w:rPr>
          <w:i/>
          <w:position w:val="1"/>
          <w:sz w:val="22"/>
        </w:rPr>
        <w:t>P</w:t>
      </w:r>
      <w:r>
        <w:rPr>
          <w:i/>
          <w:position w:val="1"/>
          <w:sz w:val="22"/>
          <w:vertAlign w:val="subscript"/>
        </w:rPr>
        <w:t>f</w:t>
      </w:r>
      <w:r>
        <w:rPr>
          <w:position w:val="1"/>
          <w:sz w:val="22"/>
          <w:vertAlign w:val="baseline"/>
        </w:rPr>
        <w:t>(</w:t>
      </w:r>
      <w:r>
        <w:rPr>
          <w:i/>
          <w:position w:val="1"/>
          <w:sz w:val="22"/>
          <w:vertAlign w:val="baseline"/>
        </w:rPr>
        <w:t>t</w:t>
      </w:r>
      <w:r>
        <w:rPr>
          <w:position w:val="-1"/>
          <w:sz w:val="18"/>
          <w:vertAlign w:val="baseline"/>
        </w:rPr>
        <w:t>L</w:t>
      </w:r>
      <w:r>
        <w:rPr>
          <w:position w:val="1"/>
          <w:sz w:val="22"/>
          <w:vertAlign w:val="baseline"/>
        </w:rPr>
        <w:t>) </w:t>
      </w:r>
      <w:r>
        <w:rPr>
          <w:rFonts w:ascii="Arial" w:hAnsi="Arial"/>
          <w:position w:val="0"/>
          <w:sz w:val="22"/>
          <w:vertAlign w:val="baseline"/>
        </w:rPr>
        <w:t>≤ </w:t>
      </w:r>
      <w:r>
        <w:rPr>
          <w:i/>
          <w:spacing w:val="1"/>
          <w:position w:val="1"/>
          <w:sz w:val="22"/>
          <w:vertAlign w:val="baseline"/>
        </w:rPr>
        <w:t>P</w:t>
      </w:r>
      <w:r>
        <w:rPr>
          <w:i/>
          <w:spacing w:val="1"/>
          <w:position w:val="1"/>
          <w:sz w:val="22"/>
          <w:vertAlign w:val="subscript"/>
        </w:rPr>
        <w:t>f</w:t>
      </w:r>
      <w:r>
        <w:rPr>
          <w:spacing w:val="1"/>
          <w:position w:val="1"/>
          <w:sz w:val="22"/>
          <w:vertAlign w:val="baseline"/>
        </w:rPr>
        <w:t>(0)  </w:t>
      </w:r>
      <w:r>
        <w:rPr>
          <w:position w:val="1"/>
          <w:sz w:val="22"/>
          <w:vertAlign w:val="baseline"/>
        </w:rPr>
        <w:t>+</w:t>
      </w:r>
      <w:r>
        <w:rPr>
          <w:spacing w:val="15"/>
          <w:position w:val="1"/>
          <w:sz w:val="22"/>
          <w:vertAlign w:val="baseline"/>
        </w:rPr>
        <w:t> </w:t>
      </w:r>
      <w:r>
        <w:rPr>
          <w:spacing w:val="2"/>
          <w:position w:val="1"/>
          <w:sz w:val="22"/>
          <w:vertAlign w:val="baseline"/>
        </w:rPr>
        <w:t>E[</w:t>
      </w:r>
      <w:r>
        <w:rPr>
          <w:i/>
          <w:spacing w:val="2"/>
          <w:position w:val="1"/>
          <w:sz w:val="22"/>
          <w:vertAlign w:val="baseline"/>
        </w:rPr>
        <w:t>N</w:t>
      </w:r>
      <w:r>
        <w:rPr>
          <w:i/>
          <w:spacing w:val="-22"/>
          <w:position w:val="1"/>
          <w:sz w:val="22"/>
          <w:vertAlign w:val="baseline"/>
        </w:rPr>
        <w:t> </w:t>
      </w:r>
      <w:r>
        <w:rPr>
          <w:position w:val="1"/>
          <w:sz w:val="22"/>
          <w:vertAlign w:val="baseline"/>
        </w:rPr>
        <w:t>(</w:t>
      </w:r>
      <w:r>
        <w:rPr>
          <w:i/>
          <w:position w:val="1"/>
          <w:sz w:val="22"/>
          <w:vertAlign w:val="baseline"/>
        </w:rPr>
        <w:t>t</w:t>
      </w:r>
      <w:r>
        <w:rPr>
          <w:position w:val="-1"/>
          <w:sz w:val="18"/>
          <w:vertAlign w:val="baseline"/>
        </w:rPr>
        <w:t>L</w:t>
      </w:r>
      <w:r>
        <w:rPr>
          <w:position w:val="1"/>
          <w:sz w:val="22"/>
          <w:vertAlign w:val="baseline"/>
        </w:rPr>
        <w:t>)]</w:t>
        <w:tab/>
      </w:r>
      <w:r>
        <w:rPr>
          <w:position w:val="-6"/>
          <w:sz w:val="24"/>
          <w:vertAlign w:val="baseline"/>
        </w:rPr>
        <w:t>(C.25)</w:t>
      </w:r>
    </w:p>
    <w:p>
      <w:pPr>
        <w:pStyle w:val="BodyText"/>
        <w:spacing w:line="312" w:lineRule="auto" w:before="148"/>
        <w:ind w:left="177" w:right="112"/>
        <w:jc w:val="both"/>
      </w:pPr>
      <w:r>
        <w:rPr/>
        <w:t>where the first term may be calculated by FORM/SORM and the expected number of outcrossings, E[</w:t>
      </w:r>
      <w:r>
        <w:rPr>
          <w:i/>
        </w:rPr>
        <w:t>N(t</w:t>
      </w:r>
      <w:r>
        <w:rPr>
          <w:vertAlign w:val="subscript"/>
        </w:rPr>
        <w:t>L</w:t>
      </w:r>
      <w:r>
        <w:rPr>
          <w:i/>
          <w:vertAlign w:val="baseline"/>
        </w:rPr>
        <w:t>)</w:t>
      </w:r>
      <w:r>
        <w:rPr>
          <w:vertAlign w:val="baseline"/>
        </w:rPr>
        <w:t>], is calculated by Rice's formula or one of its generalisations. Alternatively, parallel system concepts can be employed.</w:t>
      </w:r>
    </w:p>
    <w:p>
      <w:pPr>
        <w:spacing w:after="0" w:line="312" w:lineRule="auto"/>
        <w:jc w:val="both"/>
        <w:sectPr>
          <w:pgSz w:w="11910" w:h="16840"/>
          <w:pgMar w:header="0" w:footer="788" w:top="1420" w:bottom="980" w:left="1240" w:right="1300"/>
        </w:sectPr>
      </w:pPr>
    </w:p>
    <w:p>
      <w:pPr>
        <w:pStyle w:val="BodyText"/>
        <w:spacing w:before="5"/>
        <w:rPr>
          <w:sz w:val="20"/>
        </w:rPr>
      </w:pPr>
    </w:p>
    <w:p>
      <w:pPr>
        <w:pStyle w:val="Heading2"/>
        <w:numPr>
          <w:ilvl w:val="1"/>
          <w:numId w:val="24"/>
        </w:numPr>
        <w:tabs>
          <w:tab w:pos="1084" w:val="left" w:leader="none"/>
          <w:tab w:pos="1085" w:val="left" w:leader="none"/>
        </w:tabs>
        <w:spacing w:line="240" w:lineRule="auto" w:before="90" w:after="0"/>
        <w:ind w:left="1084" w:right="0" w:hanging="907"/>
        <w:jc w:val="left"/>
      </w:pPr>
      <w:bookmarkStart w:name="_TOC_250005" w:id="45"/>
      <w:bookmarkEnd w:id="45"/>
      <w:r>
        <w:rPr/>
        <w:t>Figures</w:t>
      </w:r>
    </w:p>
    <w:p>
      <w:pPr>
        <w:pStyle w:val="BodyText"/>
        <w:rPr>
          <w:b/>
          <w:sz w:val="20"/>
        </w:rPr>
      </w:pPr>
    </w:p>
    <w:p>
      <w:pPr>
        <w:pStyle w:val="BodyText"/>
        <w:spacing w:before="2"/>
        <w:rPr>
          <w:b/>
        </w:rPr>
      </w:pPr>
      <w:r>
        <w:rPr/>
        <w:drawing>
          <wp:anchor distT="0" distB="0" distL="0" distR="0" allowOverlap="1" layoutInCell="1" locked="0" behindDoc="0" simplePos="0" relativeHeight="2968">
            <wp:simplePos x="0" y="0"/>
            <wp:positionH relativeFrom="page">
              <wp:posOffset>921258</wp:posOffset>
            </wp:positionH>
            <wp:positionV relativeFrom="paragraph">
              <wp:posOffset>201334</wp:posOffset>
            </wp:positionV>
            <wp:extent cx="5596127" cy="1039368"/>
            <wp:effectExtent l="0" t="0" r="0" b="0"/>
            <wp:wrapTopAndBottom/>
            <wp:docPr id="7" name="image6.png" descr=""/>
            <wp:cNvGraphicFramePr>
              <a:graphicFrameLocks noChangeAspect="1"/>
            </wp:cNvGraphicFramePr>
            <a:graphic>
              <a:graphicData uri="http://schemas.openxmlformats.org/drawingml/2006/picture">
                <pic:pic>
                  <pic:nvPicPr>
                    <pic:cNvPr id="8" name="image6.png"/>
                    <pic:cNvPicPr/>
                  </pic:nvPicPr>
                  <pic:blipFill>
                    <a:blip r:embed="rId11" cstate="print"/>
                    <a:stretch>
                      <a:fillRect/>
                    </a:stretch>
                  </pic:blipFill>
                  <pic:spPr>
                    <a:xfrm>
                      <a:off x="0" y="0"/>
                      <a:ext cx="5596127" cy="1039368"/>
                    </a:xfrm>
                    <a:prstGeom prst="rect">
                      <a:avLst/>
                    </a:prstGeom>
                  </pic:spPr>
                </pic:pic>
              </a:graphicData>
            </a:graphic>
          </wp:anchor>
        </w:drawing>
      </w:r>
    </w:p>
    <w:p>
      <w:pPr>
        <w:pStyle w:val="BodyText"/>
        <w:spacing w:before="62"/>
        <w:ind w:left="1486"/>
      </w:pPr>
      <w:r>
        <w:rPr/>
        <w:t>Figure C.1: Schematic representation of series and parallel systems</w:t>
      </w:r>
    </w:p>
    <w:p>
      <w:pPr>
        <w:pStyle w:val="BodyText"/>
        <w:rPr>
          <w:sz w:val="20"/>
        </w:rPr>
      </w:pPr>
    </w:p>
    <w:p>
      <w:pPr>
        <w:pStyle w:val="BodyText"/>
        <w:rPr>
          <w:sz w:val="20"/>
        </w:rPr>
      </w:pPr>
    </w:p>
    <w:p>
      <w:pPr>
        <w:pStyle w:val="BodyText"/>
        <w:spacing w:before="9"/>
        <w:rPr>
          <w:sz w:val="22"/>
        </w:rPr>
      </w:pPr>
      <w:r>
        <w:rPr/>
        <w:drawing>
          <wp:anchor distT="0" distB="0" distL="0" distR="0" allowOverlap="1" layoutInCell="1" locked="0" behindDoc="0" simplePos="0" relativeHeight="2992">
            <wp:simplePos x="0" y="0"/>
            <wp:positionH relativeFrom="page">
              <wp:posOffset>1829561</wp:posOffset>
            </wp:positionH>
            <wp:positionV relativeFrom="paragraph">
              <wp:posOffset>191174</wp:posOffset>
            </wp:positionV>
            <wp:extent cx="3904487" cy="1341120"/>
            <wp:effectExtent l="0" t="0" r="0" b="0"/>
            <wp:wrapTopAndBottom/>
            <wp:docPr id="9" name="image7.png" descr=""/>
            <wp:cNvGraphicFramePr>
              <a:graphicFrameLocks noChangeAspect="1"/>
            </wp:cNvGraphicFramePr>
            <a:graphic>
              <a:graphicData uri="http://schemas.openxmlformats.org/drawingml/2006/picture">
                <pic:pic>
                  <pic:nvPicPr>
                    <pic:cNvPr id="10" name="image7.png"/>
                    <pic:cNvPicPr/>
                  </pic:nvPicPr>
                  <pic:blipFill>
                    <a:blip r:embed="rId12" cstate="print"/>
                    <a:stretch>
                      <a:fillRect/>
                    </a:stretch>
                  </pic:blipFill>
                  <pic:spPr>
                    <a:xfrm>
                      <a:off x="0" y="0"/>
                      <a:ext cx="3904487" cy="1341120"/>
                    </a:xfrm>
                    <a:prstGeom prst="rect">
                      <a:avLst/>
                    </a:prstGeom>
                  </pic:spPr>
                </pic:pic>
              </a:graphicData>
            </a:graphic>
          </wp:anchor>
        </w:drawing>
      </w:r>
    </w:p>
    <w:p>
      <w:pPr>
        <w:pStyle w:val="BodyText"/>
        <w:rPr>
          <w:sz w:val="20"/>
        </w:rPr>
      </w:pPr>
    </w:p>
    <w:p>
      <w:pPr>
        <w:pStyle w:val="BodyText"/>
        <w:spacing w:before="207"/>
        <w:ind w:left="278" w:right="216"/>
        <w:jc w:val="center"/>
      </w:pPr>
      <w:r>
        <w:rPr/>
        <w:t>Figure C.2: Idealised load-displacement response of structural elements</w:t>
      </w:r>
    </w:p>
    <w:p>
      <w:pPr>
        <w:pStyle w:val="BodyText"/>
        <w:spacing w:before="1"/>
        <w:rPr>
          <w:sz w:val="29"/>
        </w:rPr>
      </w:pPr>
      <w:r>
        <w:rPr/>
        <w:drawing>
          <wp:anchor distT="0" distB="0" distL="0" distR="0" allowOverlap="1" layoutInCell="1" locked="0" behindDoc="0" simplePos="0" relativeHeight="3016">
            <wp:simplePos x="0" y="0"/>
            <wp:positionH relativeFrom="page">
              <wp:posOffset>975087</wp:posOffset>
            </wp:positionH>
            <wp:positionV relativeFrom="paragraph">
              <wp:posOffset>237287</wp:posOffset>
            </wp:positionV>
            <wp:extent cx="5672742" cy="1825180"/>
            <wp:effectExtent l="0" t="0" r="0" b="0"/>
            <wp:wrapTopAndBottom/>
            <wp:docPr id="11" name="image8.png" descr=""/>
            <wp:cNvGraphicFramePr>
              <a:graphicFrameLocks noChangeAspect="1"/>
            </wp:cNvGraphicFramePr>
            <a:graphic>
              <a:graphicData uri="http://schemas.openxmlformats.org/drawingml/2006/picture">
                <pic:pic>
                  <pic:nvPicPr>
                    <pic:cNvPr id="12" name="image8.png"/>
                    <pic:cNvPicPr/>
                  </pic:nvPicPr>
                  <pic:blipFill>
                    <a:blip r:embed="rId13" cstate="print"/>
                    <a:stretch>
                      <a:fillRect/>
                    </a:stretch>
                  </pic:blipFill>
                  <pic:spPr>
                    <a:xfrm>
                      <a:off x="0" y="0"/>
                      <a:ext cx="5672742" cy="1825180"/>
                    </a:xfrm>
                    <a:prstGeom prst="rect">
                      <a:avLst/>
                    </a:prstGeom>
                  </pic:spPr>
                </pic:pic>
              </a:graphicData>
            </a:graphic>
          </wp:anchor>
        </w:drawing>
      </w:r>
    </w:p>
    <w:p>
      <w:pPr>
        <w:pStyle w:val="BodyText"/>
        <w:spacing w:before="3"/>
        <w:rPr>
          <w:sz w:val="37"/>
        </w:rPr>
      </w:pPr>
    </w:p>
    <w:p>
      <w:pPr>
        <w:pStyle w:val="BodyText"/>
        <w:ind w:left="276" w:right="216"/>
        <w:jc w:val="center"/>
      </w:pPr>
      <w:r>
        <w:rPr/>
        <w:t>Figure C.3: Effect of element correlation and system size on failure probability</w:t>
      </w:r>
    </w:p>
    <w:p>
      <w:pPr>
        <w:pStyle w:val="BodyText"/>
        <w:tabs>
          <w:tab w:pos="4881" w:val="left" w:leader="none"/>
        </w:tabs>
        <w:spacing w:before="84"/>
        <w:ind w:left="2754"/>
      </w:pPr>
      <w:r>
        <w:rPr/>
        <w:t>(a) series system</w:t>
        <w:tab/>
        <w:t>(b) parallel system</w:t>
      </w:r>
    </w:p>
    <w:p>
      <w:pPr>
        <w:spacing w:after="0"/>
        <w:sectPr>
          <w:pgSz w:w="11910" w:h="16840"/>
          <w:pgMar w:header="0" w:footer="788" w:top="1600" w:bottom="980" w:left="1240" w:right="1300"/>
        </w:sectPr>
      </w:pPr>
    </w:p>
    <w:p>
      <w:pPr>
        <w:pStyle w:val="BodyText"/>
        <w:ind w:left="311"/>
        <w:rPr>
          <w:sz w:val="20"/>
        </w:rPr>
      </w:pPr>
      <w:r>
        <w:rPr>
          <w:sz w:val="20"/>
        </w:rPr>
        <w:drawing>
          <wp:inline distT="0" distB="0" distL="0" distR="0">
            <wp:extent cx="5586984" cy="1627631"/>
            <wp:effectExtent l="0" t="0" r="0" b="0"/>
            <wp:docPr id="13" name="image9.png" descr=""/>
            <wp:cNvGraphicFramePr>
              <a:graphicFrameLocks noChangeAspect="1"/>
            </wp:cNvGraphicFramePr>
            <a:graphic>
              <a:graphicData uri="http://schemas.openxmlformats.org/drawingml/2006/picture">
                <pic:pic>
                  <pic:nvPicPr>
                    <pic:cNvPr id="14" name="image9.png"/>
                    <pic:cNvPicPr/>
                  </pic:nvPicPr>
                  <pic:blipFill>
                    <a:blip r:embed="rId14" cstate="print"/>
                    <a:stretch>
                      <a:fillRect/>
                    </a:stretch>
                  </pic:blipFill>
                  <pic:spPr>
                    <a:xfrm>
                      <a:off x="0" y="0"/>
                      <a:ext cx="5586984" cy="1627631"/>
                    </a:xfrm>
                    <a:prstGeom prst="rect">
                      <a:avLst/>
                    </a:prstGeom>
                  </pic:spPr>
                </pic:pic>
              </a:graphicData>
            </a:graphic>
          </wp:inline>
        </w:drawing>
      </w:r>
      <w:r>
        <w:rPr>
          <w:sz w:val="20"/>
        </w:rPr>
      </w:r>
    </w:p>
    <w:p>
      <w:pPr>
        <w:pStyle w:val="BodyText"/>
        <w:rPr>
          <w:sz w:val="20"/>
        </w:rPr>
      </w:pPr>
    </w:p>
    <w:p>
      <w:pPr>
        <w:pStyle w:val="BodyText"/>
        <w:rPr>
          <w:sz w:val="20"/>
        </w:rPr>
      </w:pPr>
    </w:p>
    <w:p>
      <w:pPr>
        <w:pStyle w:val="BodyText"/>
        <w:spacing w:before="3"/>
      </w:pPr>
    </w:p>
    <w:p>
      <w:pPr>
        <w:pStyle w:val="BodyText"/>
        <w:spacing w:before="90"/>
        <w:ind w:left="276" w:right="216"/>
        <w:jc w:val="center"/>
      </w:pPr>
      <w:r>
        <w:rPr/>
        <w:t>Figure C.4: Schematic representations</w:t>
      </w:r>
    </w:p>
    <w:p>
      <w:pPr>
        <w:pStyle w:val="BodyText"/>
        <w:tabs>
          <w:tab w:pos="5343" w:val="left" w:leader="none"/>
        </w:tabs>
        <w:spacing w:before="84"/>
        <w:ind w:left="2507"/>
      </w:pPr>
      <w:r>
        <w:rPr/>
        <w:t>(a) random</w:t>
      </w:r>
      <w:r>
        <w:rPr>
          <w:spacing w:val="-2"/>
        </w:rPr>
        <w:t> </w:t>
      </w:r>
      <w:r>
        <w:rPr/>
        <w:t>process</w:t>
        <w:tab/>
        <w:t>(b) random</w:t>
      </w:r>
      <w:r>
        <w:rPr>
          <w:spacing w:val="-2"/>
        </w:rPr>
        <w:t> </w:t>
      </w:r>
      <w:r>
        <w:rPr/>
        <w:t>field</w:t>
      </w:r>
    </w:p>
    <w:p>
      <w:pPr>
        <w:pStyle w:val="BodyText"/>
        <w:spacing w:before="8"/>
        <w:rPr>
          <w:sz w:val="29"/>
        </w:rPr>
      </w:pPr>
      <w:r>
        <w:rPr/>
        <w:drawing>
          <wp:anchor distT="0" distB="0" distL="0" distR="0" allowOverlap="1" layoutInCell="1" locked="0" behindDoc="0" simplePos="0" relativeHeight="3040">
            <wp:simplePos x="0" y="0"/>
            <wp:positionH relativeFrom="page">
              <wp:posOffset>948152</wp:posOffset>
            </wp:positionH>
            <wp:positionV relativeFrom="paragraph">
              <wp:posOffset>241979</wp:posOffset>
            </wp:positionV>
            <wp:extent cx="5600393" cy="2887789"/>
            <wp:effectExtent l="0" t="0" r="0" b="0"/>
            <wp:wrapTopAndBottom/>
            <wp:docPr id="15" name="image10.png" descr=""/>
            <wp:cNvGraphicFramePr>
              <a:graphicFrameLocks noChangeAspect="1"/>
            </wp:cNvGraphicFramePr>
            <a:graphic>
              <a:graphicData uri="http://schemas.openxmlformats.org/drawingml/2006/picture">
                <pic:pic>
                  <pic:nvPicPr>
                    <pic:cNvPr id="16" name="image10.png"/>
                    <pic:cNvPicPr/>
                  </pic:nvPicPr>
                  <pic:blipFill>
                    <a:blip r:embed="rId15" cstate="print"/>
                    <a:stretch>
                      <a:fillRect/>
                    </a:stretch>
                  </pic:blipFill>
                  <pic:spPr>
                    <a:xfrm>
                      <a:off x="0" y="0"/>
                      <a:ext cx="5600393" cy="2887789"/>
                    </a:xfrm>
                    <a:prstGeom prst="rect">
                      <a:avLst/>
                    </a:prstGeom>
                  </pic:spPr>
                </pic:pic>
              </a:graphicData>
            </a:graphic>
          </wp:anchor>
        </w:drawing>
      </w:r>
    </w:p>
    <w:p>
      <w:pPr>
        <w:pStyle w:val="BodyText"/>
        <w:rPr>
          <w:sz w:val="26"/>
        </w:rPr>
      </w:pPr>
    </w:p>
    <w:p>
      <w:pPr>
        <w:pStyle w:val="BodyText"/>
        <w:spacing w:before="153"/>
        <w:ind w:left="275" w:right="216"/>
        <w:jc w:val="center"/>
      </w:pPr>
      <w:r>
        <w:rPr/>
        <w:t>Figure C.5: Limit state surface in basic variable and standard normal space</w:t>
      </w:r>
    </w:p>
    <w:p>
      <w:pPr>
        <w:pStyle w:val="BodyText"/>
        <w:rPr>
          <w:sz w:val="20"/>
        </w:rPr>
      </w:pPr>
    </w:p>
    <w:p>
      <w:pPr>
        <w:pStyle w:val="BodyText"/>
        <w:spacing w:before="1"/>
        <w:rPr>
          <w:sz w:val="20"/>
        </w:rPr>
      </w:pPr>
      <w:r>
        <w:rPr/>
        <w:drawing>
          <wp:anchor distT="0" distB="0" distL="0" distR="0" allowOverlap="1" layoutInCell="1" locked="0" behindDoc="0" simplePos="0" relativeHeight="3064">
            <wp:simplePos x="0" y="0"/>
            <wp:positionH relativeFrom="page">
              <wp:posOffset>2107341</wp:posOffset>
            </wp:positionH>
            <wp:positionV relativeFrom="paragraph">
              <wp:posOffset>171827</wp:posOffset>
            </wp:positionV>
            <wp:extent cx="3235590" cy="2309241"/>
            <wp:effectExtent l="0" t="0" r="0" b="0"/>
            <wp:wrapTopAndBottom/>
            <wp:docPr id="17" name="image11.png" descr=""/>
            <wp:cNvGraphicFramePr>
              <a:graphicFrameLocks noChangeAspect="1"/>
            </wp:cNvGraphicFramePr>
            <a:graphic>
              <a:graphicData uri="http://schemas.openxmlformats.org/drawingml/2006/picture">
                <pic:pic>
                  <pic:nvPicPr>
                    <pic:cNvPr id="18" name="image11.png"/>
                    <pic:cNvPicPr/>
                  </pic:nvPicPr>
                  <pic:blipFill>
                    <a:blip r:embed="rId16" cstate="print"/>
                    <a:stretch>
                      <a:fillRect/>
                    </a:stretch>
                  </pic:blipFill>
                  <pic:spPr>
                    <a:xfrm>
                      <a:off x="0" y="0"/>
                      <a:ext cx="3235590" cy="2309241"/>
                    </a:xfrm>
                    <a:prstGeom prst="rect">
                      <a:avLst/>
                    </a:prstGeom>
                  </pic:spPr>
                </pic:pic>
              </a:graphicData>
            </a:graphic>
          </wp:anchor>
        </w:drawing>
      </w:r>
    </w:p>
    <w:p>
      <w:pPr>
        <w:spacing w:after="0"/>
        <w:rPr>
          <w:sz w:val="20"/>
        </w:rPr>
        <w:sectPr>
          <w:pgSz w:w="11910" w:h="16840"/>
          <w:pgMar w:header="0" w:footer="788" w:top="1460" w:bottom="980" w:left="1240" w:right="1300"/>
        </w:sectPr>
      </w:pPr>
    </w:p>
    <w:p>
      <w:pPr>
        <w:pStyle w:val="BodyText"/>
        <w:spacing w:before="8"/>
        <w:rPr>
          <w:sz w:val="16"/>
        </w:rPr>
      </w:pPr>
    </w:p>
    <w:p>
      <w:pPr>
        <w:pStyle w:val="BodyText"/>
        <w:spacing w:before="90"/>
        <w:ind w:left="279" w:right="216"/>
        <w:jc w:val="center"/>
      </w:pPr>
      <w:r>
        <w:rPr/>
        <w:t>Figure C.6(a): Failure region as union of component failure events for series system</w:t>
      </w:r>
    </w:p>
    <w:p>
      <w:pPr>
        <w:pStyle w:val="BodyText"/>
        <w:spacing w:before="1"/>
        <w:rPr>
          <w:sz w:val="28"/>
        </w:rPr>
      </w:pPr>
      <w:r>
        <w:rPr/>
        <w:drawing>
          <wp:anchor distT="0" distB="0" distL="0" distR="0" allowOverlap="1" layoutInCell="1" locked="0" behindDoc="0" simplePos="0" relativeHeight="3088">
            <wp:simplePos x="0" y="0"/>
            <wp:positionH relativeFrom="page">
              <wp:posOffset>1990145</wp:posOffset>
            </wp:positionH>
            <wp:positionV relativeFrom="paragraph">
              <wp:posOffset>229894</wp:posOffset>
            </wp:positionV>
            <wp:extent cx="3564876" cy="2105977"/>
            <wp:effectExtent l="0" t="0" r="0" b="0"/>
            <wp:wrapTopAndBottom/>
            <wp:docPr id="19" name="image12.png" descr=""/>
            <wp:cNvGraphicFramePr>
              <a:graphicFrameLocks noChangeAspect="1"/>
            </wp:cNvGraphicFramePr>
            <a:graphic>
              <a:graphicData uri="http://schemas.openxmlformats.org/drawingml/2006/picture">
                <pic:pic>
                  <pic:nvPicPr>
                    <pic:cNvPr id="20" name="image12.png"/>
                    <pic:cNvPicPr/>
                  </pic:nvPicPr>
                  <pic:blipFill>
                    <a:blip r:embed="rId17" cstate="print"/>
                    <a:stretch>
                      <a:fillRect/>
                    </a:stretch>
                  </pic:blipFill>
                  <pic:spPr>
                    <a:xfrm>
                      <a:off x="0" y="0"/>
                      <a:ext cx="3564876" cy="2105977"/>
                    </a:xfrm>
                    <a:prstGeom prst="rect">
                      <a:avLst/>
                    </a:prstGeom>
                  </pic:spPr>
                </pic:pic>
              </a:graphicData>
            </a:graphic>
          </wp:anchor>
        </w:drawing>
      </w:r>
    </w:p>
    <w:p>
      <w:pPr>
        <w:pStyle w:val="BodyText"/>
        <w:spacing w:before="40"/>
        <w:ind w:left="280" w:right="216"/>
        <w:jc w:val="center"/>
      </w:pPr>
      <w:r>
        <w:rPr/>
        <w:t>Figure C.6(b): Failure region as intersection of component failure events for parallel system</w:t>
      </w:r>
    </w:p>
    <w:p>
      <w:pPr>
        <w:pStyle w:val="BodyText"/>
        <w:rPr>
          <w:sz w:val="20"/>
        </w:rPr>
      </w:pPr>
    </w:p>
    <w:p>
      <w:pPr>
        <w:pStyle w:val="BodyText"/>
        <w:rPr>
          <w:sz w:val="20"/>
        </w:rPr>
      </w:pPr>
    </w:p>
    <w:p>
      <w:pPr>
        <w:pStyle w:val="BodyText"/>
        <w:spacing w:before="10"/>
      </w:pPr>
      <w:r>
        <w:rPr/>
        <w:drawing>
          <wp:anchor distT="0" distB="0" distL="0" distR="0" allowOverlap="1" layoutInCell="1" locked="0" behindDoc="0" simplePos="0" relativeHeight="3112">
            <wp:simplePos x="0" y="0"/>
            <wp:positionH relativeFrom="page">
              <wp:posOffset>1793489</wp:posOffset>
            </wp:positionH>
            <wp:positionV relativeFrom="paragraph">
              <wp:posOffset>206927</wp:posOffset>
            </wp:positionV>
            <wp:extent cx="3950587" cy="2637472"/>
            <wp:effectExtent l="0" t="0" r="0" b="0"/>
            <wp:wrapTopAndBottom/>
            <wp:docPr id="21" name="image13.png" descr=""/>
            <wp:cNvGraphicFramePr>
              <a:graphicFrameLocks noChangeAspect="1"/>
            </wp:cNvGraphicFramePr>
            <a:graphic>
              <a:graphicData uri="http://schemas.openxmlformats.org/drawingml/2006/picture">
                <pic:pic>
                  <pic:nvPicPr>
                    <pic:cNvPr id="22" name="image13.png"/>
                    <pic:cNvPicPr/>
                  </pic:nvPicPr>
                  <pic:blipFill>
                    <a:blip r:embed="rId18" cstate="print"/>
                    <a:stretch>
                      <a:fillRect/>
                    </a:stretch>
                  </pic:blipFill>
                  <pic:spPr>
                    <a:xfrm>
                      <a:off x="0" y="0"/>
                      <a:ext cx="3950587" cy="2637472"/>
                    </a:xfrm>
                    <a:prstGeom prst="rect">
                      <a:avLst/>
                    </a:prstGeom>
                  </pic:spPr>
                </pic:pic>
              </a:graphicData>
            </a:graphic>
          </wp:anchor>
        </w:drawing>
      </w:r>
    </w:p>
    <w:p>
      <w:pPr>
        <w:pStyle w:val="BodyText"/>
        <w:rPr>
          <w:sz w:val="20"/>
        </w:rPr>
      </w:pPr>
    </w:p>
    <w:p>
      <w:pPr>
        <w:pStyle w:val="BodyText"/>
        <w:spacing w:before="3"/>
        <w:rPr>
          <w:sz w:val="17"/>
        </w:rPr>
      </w:pPr>
    </w:p>
    <w:p>
      <w:pPr>
        <w:pStyle w:val="BodyText"/>
        <w:spacing w:before="91"/>
        <w:ind w:left="2050"/>
      </w:pPr>
      <w:r>
        <w:rPr/>
        <w:t>Figure C.7: General time-dependent reliability problem</w:t>
      </w:r>
    </w:p>
    <w:p>
      <w:pPr>
        <w:spacing w:after="0"/>
        <w:sectPr>
          <w:pgSz w:w="11910" w:h="16840"/>
          <w:pgMar w:header="0" w:footer="788" w:top="1600" w:bottom="980" w:left="1240" w:right="1300"/>
        </w:sectPr>
      </w:pPr>
    </w:p>
    <w:p>
      <w:pPr>
        <w:pStyle w:val="BodyText"/>
        <w:ind w:left="527"/>
        <w:rPr>
          <w:sz w:val="20"/>
        </w:rPr>
      </w:pPr>
      <w:r>
        <w:rPr>
          <w:sz w:val="20"/>
        </w:rPr>
        <w:drawing>
          <wp:inline distT="0" distB="0" distL="0" distR="0">
            <wp:extent cx="5366640" cy="1935479"/>
            <wp:effectExtent l="0" t="0" r="0" b="0"/>
            <wp:docPr id="23" name="image14.png" descr=""/>
            <wp:cNvGraphicFramePr>
              <a:graphicFrameLocks noChangeAspect="1"/>
            </wp:cNvGraphicFramePr>
            <a:graphic>
              <a:graphicData uri="http://schemas.openxmlformats.org/drawingml/2006/picture">
                <pic:pic>
                  <pic:nvPicPr>
                    <pic:cNvPr id="24" name="image14.png"/>
                    <pic:cNvPicPr/>
                  </pic:nvPicPr>
                  <pic:blipFill>
                    <a:blip r:embed="rId19" cstate="print"/>
                    <a:stretch>
                      <a:fillRect/>
                    </a:stretch>
                  </pic:blipFill>
                  <pic:spPr>
                    <a:xfrm>
                      <a:off x="0" y="0"/>
                      <a:ext cx="5366640" cy="1935479"/>
                    </a:xfrm>
                    <a:prstGeom prst="rect">
                      <a:avLst/>
                    </a:prstGeom>
                  </pic:spPr>
                </pic:pic>
              </a:graphicData>
            </a:graphic>
          </wp:inline>
        </w:drawing>
      </w:r>
      <w:r>
        <w:rPr>
          <w:sz w:val="20"/>
        </w:rPr>
      </w:r>
    </w:p>
    <w:p>
      <w:pPr>
        <w:pStyle w:val="BodyText"/>
        <w:rPr>
          <w:sz w:val="20"/>
        </w:rPr>
      </w:pPr>
    </w:p>
    <w:p>
      <w:pPr>
        <w:pStyle w:val="BodyText"/>
        <w:spacing w:before="219"/>
        <w:ind w:left="1887"/>
      </w:pPr>
      <w:r>
        <w:rPr/>
        <w:t>Figure C.8: Schematic representation of crossing problems</w:t>
      </w:r>
    </w:p>
    <w:p>
      <w:pPr>
        <w:pStyle w:val="BodyText"/>
        <w:spacing w:before="84"/>
        <w:ind w:left="1883"/>
      </w:pPr>
      <w:r>
        <w:rPr/>
        <w:t>(a) slowly varying resistance (b) rapidly varying resistance</w:t>
      </w:r>
    </w:p>
    <w:p>
      <w:pPr>
        <w:pStyle w:val="BodyText"/>
        <w:rPr>
          <w:sz w:val="20"/>
        </w:rPr>
      </w:pPr>
    </w:p>
    <w:p>
      <w:pPr>
        <w:pStyle w:val="BodyText"/>
        <w:rPr>
          <w:sz w:val="20"/>
        </w:rPr>
      </w:pPr>
    </w:p>
    <w:p>
      <w:pPr>
        <w:pStyle w:val="BodyText"/>
        <w:spacing w:before="1"/>
        <w:rPr>
          <w:sz w:val="13"/>
        </w:rPr>
      </w:pPr>
      <w:r>
        <w:rPr/>
        <w:drawing>
          <wp:anchor distT="0" distB="0" distL="0" distR="0" allowOverlap="1" layoutInCell="1" locked="0" behindDoc="0" simplePos="0" relativeHeight="3136">
            <wp:simplePos x="0" y="0"/>
            <wp:positionH relativeFrom="page">
              <wp:posOffset>1902714</wp:posOffset>
            </wp:positionH>
            <wp:positionV relativeFrom="paragraph">
              <wp:posOffset>120843</wp:posOffset>
            </wp:positionV>
            <wp:extent cx="3718559" cy="1767839"/>
            <wp:effectExtent l="0" t="0" r="0" b="0"/>
            <wp:wrapTopAndBottom/>
            <wp:docPr id="25" name="image15.png" descr=""/>
            <wp:cNvGraphicFramePr>
              <a:graphicFrameLocks noChangeAspect="1"/>
            </wp:cNvGraphicFramePr>
            <a:graphic>
              <a:graphicData uri="http://schemas.openxmlformats.org/drawingml/2006/picture">
                <pic:pic>
                  <pic:nvPicPr>
                    <pic:cNvPr id="26" name="image15.png"/>
                    <pic:cNvPicPr/>
                  </pic:nvPicPr>
                  <pic:blipFill>
                    <a:blip r:embed="rId20" cstate="print"/>
                    <a:stretch>
                      <a:fillRect/>
                    </a:stretch>
                  </pic:blipFill>
                  <pic:spPr>
                    <a:xfrm>
                      <a:off x="0" y="0"/>
                      <a:ext cx="3718559" cy="1767839"/>
                    </a:xfrm>
                    <a:prstGeom prst="rect">
                      <a:avLst/>
                    </a:prstGeom>
                  </pic:spPr>
                </pic:pic>
              </a:graphicData>
            </a:graphic>
          </wp:anchor>
        </w:drawing>
      </w:r>
    </w:p>
    <w:p>
      <w:pPr>
        <w:pStyle w:val="BodyText"/>
        <w:spacing w:before="1"/>
        <w:rPr>
          <w:sz w:val="28"/>
        </w:rPr>
      </w:pPr>
    </w:p>
    <w:p>
      <w:pPr>
        <w:pStyle w:val="BodyText"/>
        <w:spacing w:before="90"/>
        <w:ind w:left="278" w:right="216"/>
        <w:jc w:val="center"/>
      </w:pPr>
      <w:r>
        <w:rPr/>
        <w:t>Figure C.9: Fundamental barrier crossing problem</w:t>
      </w:r>
    </w:p>
    <w:p>
      <w:pPr>
        <w:pStyle w:val="BodyText"/>
        <w:spacing w:before="10"/>
        <w:rPr>
          <w:sz w:val="28"/>
        </w:rPr>
      </w:pPr>
      <w:r>
        <w:rPr/>
        <w:drawing>
          <wp:anchor distT="0" distB="0" distL="0" distR="0" allowOverlap="1" layoutInCell="1" locked="0" behindDoc="0" simplePos="0" relativeHeight="3160">
            <wp:simplePos x="0" y="0"/>
            <wp:positionH relativeFrom="page">
              <wp:posOffset>2166255</wp:posOffset>
            </wp:positionH>
            <wp:positionV relativeFrom="paragraph">
              <wp:posOffset>235998</wp:posOffset>
            </wp:positionV>
            <wp:extent cx="3218161" cy="2711767"/>
            <wp:effectExtent l="0" t="0" r="0" b="0"/>
            <wp:wrapTopAndBottom/>
            <wp:docPr id="27" name="image16.png" descr=""/>
            <wp:cNvGraphicFramePr>
              <a:graphicFrameLocks noChangeAspect="1"/>
            </wp:cNvGraphicFramePr>
            <a:graphic>
              <a:graphicData uri="http://schemas.openxmlformats.org/drawingml/2006/picture">
                <pic:pic>
                  <pic:nvPicPr>
                    <pic:cNvPr id="28" name="image16.png"/>
                    <pic:cNvPicPr/>
                  </pic:nvPicPr>
                  <pic:blipFill>
                    <a:blip r:embed="rId21" cstate="print"/>
                    <a:stretch>
                      <a:fillRect/>
                    </a:stretch>
                  </pic:blipFill>
                  <pic:spPr>
                    <a:xfrm>
                      <a:off x="0" y="0"/>
                      <a:ext cx="3218161" cy="2711767"/>
                    </a:xfrm>
                    <a:prstGeom prst="rect">
                      <a:avLst/>
                    </a:prstGeom>
                  </pic:spPr>
                </pic:pic>
              </a:graphicData>
            </a:graphic>
          </wp:anchor>
        </w:drawing>
      </w:r>
    </w:p>
    <w:p>
      <w:pPr>
        <w:pStyle w:val="BodyText"/>
        <w:spacing w:before="2"/>
        <w:rPr>
          <w:sz w:val="36"/>
        </w:rPr>
      </w:pPr>
    </w:p>
    <w:p>
      <w:pPr>
        <w:pStyle w:val="BodyText"/>
        <w:spacing w:before="1"/>
        <w:ind w:left="278" w:right="216"/>
        <w:jc w:val="center"/>
      </w:pPr>
      <w:r>
        <w:rPr/>
        <w:t>Figure C.10: Damage accumulation problem</w:t>
      </w:r>
    </w:p>
    <w:p>
      <w:pPr>
        <w:spacing w:after="0"/>
        <w:jc w:val="center"/>
        <w:sectPr>
          <w:pgSz w:w="11910" w:h="16840"/>
          <w:pgMar w:header="0" w:footer="788" w:top="1500" w:bottom="980" w:left="1240" w:right="1300"/>
        </w:sectPr>
      </w:pPr>
    </w:p>
    <w:p>
      <w:pPr>
        <w:pStyle w:val="BodyText"/>
        <w:spacing w:before="8"/>
        <w:rPr>
          <w:sz w:val="19"/>
        </w:rPr>
      </w:pPr>
    </w:p>
    <w:p>
      <w:pPr>
        <w:pStyle w:val="BodyText"/>
        <w:ind w:left="204"/>
        <w:rPr>
          <w:sz w:val="20"/>
        </w:rPr>
      </w:pPr>
      <w:r>
        <w:rPr>
          <w:sz w:val="20"/>
        </w:rPr>
        <w:drawing>
          <wp:inline distT="0" distB="0" distL="0" distR="0">
            <wp:extent cx="5677228" cy="2014537"/>
            <wp:effectExtent l="0" t="0" r="0" b="0"/>
            <wp:docPr id="29" name="image17.png" descr=""/>
            <wp:cNvGraphicFramePr>
              <a:graphicFrameLocks noChangeAspect="1"/>
            </wp:cNvGraphicFramePr>
            <a:graphic>
              <a:graphicData uri="http://schemas.openxmlformats.org/drawingml/2006/picture">
                <pic:pic>
                  <pic:nvPicPr>
                    <pic:cNvPr id="30" name="image17.png"/>
                    <pic:cNvPicPr/>
                  </pic:nvPicPr>
                  <pic:blipFill>
                    <a:blip r:embed="rId22" cstate="print"/>
                    <a:stretch>
                      <a:fillRect/>
                    </a:stretch>
                  </pic:blipFill>
                  <pic:spPr>
                    <a:xfrm>
                      <a:off x="0" y="0"/>
                      <a:ext cx="5677228" cy="2014537"/>
                    </a:xfrm>
                    <a:prstGeom prst="rect">
                      <a:avLst/>
                    </a:prstGeom>
                  </pic:spPr>
                </pic:pic>
              </a:graphicData>
            </a:graphic>
          </wp:inline>
        </w:drawing>
      </w:r>
      <w:r>
        <w:rPr>
          <w:sz w:val="20"/>
        </w:rPr>
      </w:r>
    </w:p>
    <w:p>
      <w:pPr>
        <w:pStyle w:val="BodyText"/>
        <w:rPr>
          <w:sz w:val="20"/>
        </w:rPr>
      </w:pPr>
    </w:p>
    <w:p>
      <w:pPr>
        <w:pStyle w:val="BodyText"/>
        <w:spacing w:before="230"/>
        <w:ind w:left="2608"/>
      </w:pPr>
      <w:r>
        <w:rPr/>
        <w:t>Figure C.11: Realization of an FBC process</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
      </w:pPr>
      <w:r>
        <w:rPr/>
        <w:drawing>
          <wp:anchor distT="0" distB="0" distL="0" distR="0" allowOverlap="1" layoutInCell="1" locked="0" behindDoc="0" simplePos="0" relativeHeight="3184">
            <wp:simplePos x="0" y="0"/>
            <wp:positionH relativeFrom="page">
              <wp:posOffset>951738</wp:posOffset>
            </wp:positionH>
            <wp:positionV relativeFrom="paragraph">
              <wp:posOffset>200974</wp:posOffset>
            </wp:positionV>
            <wp:extent cx="5199887" cy="1554480"/>
            <wp:effectExtent l="0" t="0" r="0" b="0"/>
            <wp:wrapTopAndBottom/>
            <wp:docPr id="31" name="image18.png" descr=""/>
            <wp:cNvGraphicFramePr>
              <a:graphicFrameLocks noChangeAspect="1"/>
            </wp:cNvGraphicFramePr>
            <a:graphic>
              <a:graphicData uri="http://schemas.openxmlformats.org/drawingml/2006/picture">
                <pic:pic>
                  <pic:nvPicPr>
                    <pic:cNvPr id="32" name="image18.png"/>
                    <pic:cNvPicPr/>
                  </pic:nvPicPr>
                  <pic:blipFill>
                    <a:blip r:embed="rId23" cstate="print"/>
                    <a:stretch>
                      <a:fillRect/>
                    </a:stretch>
                  </pic:blipFill>
                  <pic:spPr>
                    <a:xfrm>
                      <a:off x="0" y="0"/>
                      <a:ext cx="5199887" cy="1554480"/>
                    </a:xfrm>
                    <a:prstGeom prst="rect">
                      <a:avLst/>
                    </a:prstGeom>
                  </pic:spPr>
                </pic:pic>
              </a:graphicData>
            </a:graphic>
          </wp:anchor>
        </w:drawing>
      </w:r>
    </w:p>
    <w:p>
      <w:pPr>
        <w:pStyle w:val="BodyText"/>
        <w:rPr>
          <w:sz w:val="20"/>
        </w:rPr>
      </w:pPr>
    </w:p>
    <w:p>
      <w:pPr>
        <w:pStyle w:val="BodyText"/>
        <w:rPr>
          <w:sz w:val="20"/>
        </w:rPr>
      </w:pPr>
    </w:p>
    <w:p>
      <w:pPr>
        <w:pStyle w:val="BodyText"/>
        <w:spacing w:before="10"/>
        <w:rPr>
          <w:sz w:val="21"/>
        </w:rPr>
      </w:pPr>
    </w:p>
    <w:p>
      <w:pPr>
        <w:pStyle w:val="BodyText"/>
        <w:spacing w:line="312" w:lineRule="auto" w:before="90"/>
        <w:ind w:left="4158" w:right="650" w:hanging="3442"/>
      </w:pPr>
      <w:r>
        <w:rPr/>
        <w:t>Figure C.12: Time-dependent safety margin and schematic representation of vector outcrossing</w:t>
      </w:r>
    </w:p>
    <w:p>
      <w:pPr>
        <w:spacing w:after="0" w:line="312" w:lineRule="auto"/>
        <w:sectPr>
          <w:pgSz w:w="11910" w:h="16840"/>
          <w:pgMar w:header="0" w:footer="788" w:top="1600" w:bottom="980" w:left="1240" w:right="1300"/>
        </w:sectPr>
      </w:pPr>
    </w:p>
    <w:p>
      <w:pPr>
        <w:pStyle w:val="BodyText"/>
        <w:spacing w:before="5"/>
        <w:rPr>
          <w:sz w:val="20"/>
        </w:rPr>
      </w:pPr>
    </w:p>
    <w:p>
      <w:pPr>
        <w:pStyle w:val="Heading2"/>
        <w:numPr>
          <w:ilvl w:val="1"/>
          <w:numId w:val="24"/>
        </w:numPr>
        <w:tabs>
          <w:tab w:pos="1084" w:val="left" w:leader="none"/>
          <w:tab w:pos="1085" w:val="left" w:leader="none"/>
        </w:tabs>
        <w:spacing w:line="240" w:lineRule="auto" w:before="90" w:after="0"/>
        <w:ind w:left="1084" w:right="0" w:hanging="907"/>
        <w:jc w:val="left"/>
      </w:pPr>
      <w:bookmarkStart w:name="_TOC_250004" w:id="46"/>
      <w:bookmarkEnd w:id="46"/>
      <w:r>
        <w:rPr/>
        <w:t>Bibliography</w:t>
      </w:r>
    </w:p>
    <w:p>
      <w:pPr>
        <w:pStyle w:val="BodyText"/>
        <w:rPr>
          <w:b/>
          <w:sz w:val="26"/>
        </w:rPr>
      </w:pPr>
    </w:p>
    <w:p>
      <w:pPr>
        <w:pStyle w:val="BodyText"/>
        <w:spacing w:before="9"/>
        <w:rPr>
          <w:b/>
          <w:sz w:val="22"/>
        </w:rPr>
      </w:pPr>
    </w:p>
    <w:p>
      <w:pPr>
        <w:tabs>
          <w:tab w:pos="898" w:val="left" w:leader="none"/>
        </w:tabs>
        <w:spacing w:line="312" w:lineRule="auto" w:before="1"/>
        <w:ind w:left="897" w:right="191" w:hanging="721"/>
        <w:jc w:val="left"/>
        <w:rPr>
          <w:sz w:val="24"/>
        </w:rPr>
      </w:pPr>
      <w:r>
        <w:rPr>
          <w:sz w:val="24"/>
        </w:rPr>
        <w:t>[C1]</w:t>
        <w:tab/>
        <w:tab/>
        <w:t>Ang A H S and Tang W H, </w:t>
      </w:r>
      <w:r>
        <w:rPr>
          <w:i/>
          <w:sz w:val="24"/>
        </w:rPr>
        <w:t>Probability Concepts in Engineering Planning and Design, </w:t>
      </w:r>
      <w:r>
        <w:rPr>
          <w:sz w:val="24"/>
        </w:rPr>
        <w:t>Vol. I &amp; II, John Wiley,</w:t>
      </w:r>
      <w:r>
        <w:rPr>
          <w:spacing w:val="-1"/>
          <w:sz w:val="24"/>
        </w:rPr>
        <w:t> </w:t>
      </w:r>
      <w:r>
        <w:rPr>
          <w:sz w:val="24"/>
        </w:rPr>
        <w:t>1984.</w:t>
      </w:r>
    </w:p>
    <w:p>
      <w:pPr>
        <w:pStyle w:val="BodyText"/>
        <w:spacing w:before="5"/>
        <w:rPr>
          <w:sz w:val="31"/>
        </w:rPr>
      </w:pPr>
    </w:p>
    <w:p>
      <w:pPr>
        <w:tabs>
          <w:tab w:pos="899" w:val="left" w:leader="none"/>
        </w:tabs>
        <w:spacing w:before="1"/>
        <w:ind w:left="177" w:right="0" w:firstLine="0"/>
        <w:jc w:val="left"/>
        <w:rPr>
          <w:i/>
          <w:sz w:val="24"/>
        </w:rPr>
      </w:pPr>
      <w:r>
        <w:rPr>
          <w:sz w:val="24"/>
        </w:rPr>
        <w:t>[C2]</w:t>
        <w:tab/>
        <w:t>Augusti G, Baratta A and Casciati F, </w:t>
      </w:r>
      <w:r>
        <w:rPr>
          <w:i/>
          <w:sz w:val="24"/>
        </w:rPr>
        <w:t>Probabilistic Methods in Structural</w:t>
      </w:r>
      <w:r>
        <w:rPr>
          <w:i/>
          <w:spacing w:val="13"/>
          <w:sz w:val="24"/>
        </w:rPr>
        <w:t> </w:t>
      </w:r>
      <w:r>
        <w:rPr>
          <w:i/>
          <w:sz w:val="24"/>
        </w:rPr>
        <w:t>Engineering,</w:t>
      </w:r>
    </w:p>
    <w:p>
      <w:pPr>
        <w:pStyle w:val="BodyText"/>
        <w:spacing w:before="84"/>
        <w:ind w:left="897"/>
      </w:pPr>
      <w:r>
        <w:rPr/>
        <w:t>Chapman and Hall, 1984.</w:t>
      </w:r>
    </w:p>
    <w:p>
      <w:pPr>
        <w:pStyle w:val="BodyText"/>
        <w:spacing w:before="6"/>
        <w:rPr>
          <w:sz w:val="38"/>
        </w:rPr>
      </w:pPr>
    </w:p>
    <w:p>
      <w:pPr>
        <w:tabs>
          <w:tab w:pos="898" w:val="left" w:leader="none"/>
        </w:tabs>
        <w:spacing w:line="312" w:lineRule="auto" w:before="1"/>
        <w:ind w:left="897" w:right="191" w:hanging="720"/>
        <w:jc w:val="left"/>
        <w:rPr>
          <w:sz w:val="24"/>
        </w:rPr>
      </w:pPr>
      <w:r>
        <w:rPr>
          <w:sz w:val="24"/>
        </w:rPr>
        <w:t>[C3]</w:t>
        <w:tab/>
        <w:tab/>
        <w:t>Benjamin J R and Cornell C A, </w:t>
      </w:r>
      <w:r>
        <w:rPr>
          <w:i/>
          <w:sz w:val="24"/>
        </w:rPr>
        <w:t>Probability, Statistics and Decision for Civil Engineers, </w:t>
      </w:r>
      <w:r>
        <w:rPr>
          <w:sz w:val="24"/>
        </w:rPr>
        <w:t>McGraw Hill,</w:t>
      </w:r>
      <w:r>
        <w:rPr>
          <w:spacing w:val="-4"/>
          <w:sz w:val="24"/>
        </w:rPr>
        <w:t> </w:t>
      </w:r>
      <w:r>
        <w:rPr>
          <w:sz w:val="24"/>
        </w:rPr>
        <w:t>1970.</w:t>
      </w:r>
    </w:p>
    <w:p>
      <w:pPr>
        <w:pStyle w:val="BodyText"/>
        <w:spacing w:before="5"/>
        <w:rPr>
          <w:sz w:val="31"/>
        </w:rPr>
      </w:pPr>
    </w:p>
    <w:p>
      <w:pPr>
        <w:tabs>
          <w:tab w:pos="897" w:val="left" w:leader="none"/>
        </w:tabs>
        <w:spacing w:before="1"/>
        <w:ind w:left="177" w:right="0" w:firstLine="0"/>
        <w:jc w:val="left"/>
        <w:rPr>
          <w:sz w:val="24"/>
        </w:rPr>
      </w:pPr>
      <w:r>
        <w:rPr>
          <w:sz w:val="24"/>
        </w:rPr>
        <w:t>[C4]</w:t>
        <w:tab/>
        <w:t>Bolotin V V, </w:t>
      </w:r>
      <w:r>
        <w:rPr>
          <w:i/>
          <w:sz w:val="24"/>
        </w:rPr>
        <w:t>Statistical Methods in Structural Mechanics, </w:t>
      </w:r>
      <w:r>
        <w:rPr>
          <w:sz w:val="24"/>
        </w:rPr>
        <w:t>Holden-Day,</w:t>
      </w:r>
      <w:r>
        <w:rPr>
          <w:spacing w:val="-10"/>
          <w:sz w:val="24"/>
        </w:rPr>
        <w:t> </w:t>
      </w:r>
      <w:r>
        <w:rPr>
          <w:sz w:val="24"/>
        </w:rPr>
        <w:t>1969.</w:t>
      </w:r>
    </w:p>
    <w:p>
      <w:pPr>
        <w:pStyle w:val="BodyText"/>
        <w:spacing w:before="6"/>
        <w:rPr>
          <w:sz w:val="38"/>
        </w:rPr>
      </w:pPr>
    </w:p>
    <w:p>
      <w:pPr>
        <w:pStyle w:val="BodyText"/>
        <w:tabs>
          <w:tab w:pos="899" w:val="left" w:leader="none"/>
        </w:tabs>
        <w:spacing w:line="312" w:lineRule="auto" w:before="1"/>
        <w:ind w:left="897" w:right="191" w:hanging="720"/>
      </w:pPr>
      <w:r>
        <w:rPr/>
        <w:t>[C5]</w:t>
        <w:tab/>
        <w:tab/>
        <w:t>Borges J F and Castanheta M, </w:t>
      </w:r>
      <w:r>
        <w:rPr>
          <w:i/>
        </w:rPr>
        <w:t>Structural Safety, </w:t>
      </w:r>
      <w:r>
        <w:rPr/>
        <w:t>Laboratorio Nacional de Engenharia Civil, Lisboa, 1985.</w:t>
      </w:r>
    </w:p>
    <w:p>
      <w:pPr>
        <w:pStyle w:val="BodyText"/>
        <w:spacing w:before="5"/>
        <w:rPr>
          <w:sz w:val="31"/>
        </w:rPr>
      </w:pPr>
    </w:p>
    <w:p>
      <w:pPr>
        <w:tabs>
          <w:tab w:pos="897" w:val="left" w:leader="none"/>
        </w:tabs>
        <w:spacing w:before="1"/>
        <w:ind w:left="177" w:right="0" w:firstLine="0"/>
        <w:jc w:val="left"/>
        <w:rPr>
          <w:sz w:val="24"/>
        </w:rPr>
      </w:pPr>
      <w:r>
        <w:rPr>
          <w:sz w:val="24"/>
        </w:rPr>
        <w:t>[C6]</w:t>
        <w:tab/>
        <w:t>Ditlevsen O, </w:t>
      </w:r>
      <w:r>
        <w:rPr>
          <w:i/>
          <w:sz w:val="24"/>
        </w:rPr>
        <w:t>Uncertainty Modelling, </w:t>
      </w:r>
      <w:r>
        <w:rPr>
          <w:sz w:val="24"/>
        </w:rPr>
        <w:t>McGraw Hill,</w:t>
      </w:r>
      <w:r>
        <w:rPr>
          <w:spacing w:val="-3"/>
          <w:sz w:val="24"/>
        </w:rPr>
        <w:t> </w:t>
      </w:r>
      <w:r>
        <w:rPr>
          <w:sz w:val="24"/>
        </w:rPr>
        <w:t>1981.</w:t>
      </w:r>
    </w:p>
    <w:p>
      <w:pPr>
        <w:pStyle w:val="BodyText"/>
        <w:spacing w:before="6"/>
        <w:rPr>
          <w:sz w:val="38"/>
        </w:rPr>
      </w:pPr>
    </w:p>
    <w:p>
      <w:pPr>
        <w:tabs>
          <w:tab w:pos="897" w:val="left" w:leader="none"/>
        </w:tabs>
        <w:spacing w:before="1"/>
        <w:ind w:left="177" w:right="0" w:firstLine="0"/>
        <w:jc w:val="left"/>
        <w:rPr>
          <w:sz w:val="24"/>
        </w:rPr>
      </w:pPr>
      <w:r>
        <w:rPr>
          <w:sz w:val="24"/>
        </w:rPr>
        <w:t>[C7]</w:t>
        <w:tab/>
        <w:t>Ditlevsen O and Madsen H O, </w:t>
      </w:r>
      <w:r>
        <w:rPr>
          <w:i/>
          <w:sz w:val="24"/>
        </w:rPr>
        <w:t>Structural Reliability Methods, </w:t>
      </w:r>
      <w:r>
        <w:rPr>
          <w:sz w:val="24"/>
        </w:rPr>
        <w:t>J Wiley,</w:t>
      </w:r>
      <w:r>
        <w:rPr>
          <w:spacing w:val="-9"/>
          <w:sz w:val="24"/>
        </w:rPr>
        <w:t> </w:t>
      </w:r>
      <w:r>
        <w:rPr>
          <w:sz w:val="24"/>
        </w:rPr>
        <w:t>1996.</w:t>
      </w:r>
    </w:p>
    <w:p>
      <w:pPr>
        <w:pStyle w:val="BodyText"/>
        <w:spacing w:before="7"/>
        <w:rPr>
          <w:sz w:val="38"/>
        </w:rPr>
      </w:pPr>
    </w:p>
    <w:p>
      <w:pPr>
        <w:tabs>
          <w:tab w:pos="898" w:val="left" w:leader="none"/>
        </w:tabs>
        <w:spacing w:line="312" w:lineRule="auto" w:before="0"/>
        <w:ind w:left="897" w:right="191" w:hanging="720"/>
        <w:jc w:val="left"/>
        <w:rPr>
          <w:sz w:val="24"/>
        </w:rPr>
      </w:pPr>
      <w:r>
        <w:rPr>
          <w:sz w:val="24"/>
        </w:rPr>
        <w:t>[C8]</w:t>
        <w:tab/>
        <w:tab/>
        <w:t>Madsen H O, Krenk S and Lind N C, </w:t>
      </w:r>
      <w:r>
        <w:rPr>
          <w:i/>
          <w:sz w:val="24"/>
        </w:rPr>
        <w:t>Methods of Structural Safety</w:t>
      </w:r>
      <w:r>
        <w:rPr>
          <w:sz w:val="24"/>
        </w:rPr>
        <w:t>, Prentice-Hall, 1986.</w:t>
      </w:r>
    </w:p>
    <w:p>
      <w:pPr>
        <w:pStyle w:val="BodyText"/>
        <w:spacing w:before="6"/>
        <w:rPr>
          <w:sz w:val="31"/>
        </w:rPr>
      </w:pPr>
    </w:p>
    <w:p>
      <w:pPr>
        <w:tabs>
          <w:tab w:pos="898" w:val="left" w:leader="none"/>
        </w:tabs>
        <w:spacing w:line="312" w:lineRule="auto" w:before="0"/>
        <w:ind w:left="897" w:right="191" w:hanging="720"/>
        <w:jc w:val="left"/>
        <w:rPr>
          <w:sz w:val="24"/>
        </w:rPr>
      </w:pPr>
      <w:r>
        <w:rPr>
          <w:sz w:val="24"/>
        </w:rPr>
        <w:t>[C9]</w:t>
        <w:tab/>
        <w:tab/>
        <w:t>Melchers R E, </w:t>
      </w:r>
      <w:r>
        <w:rPr>
          <w:i/>
          <w:sz w:val="24"/>
        </w:rPr>
        <w:t>Structural Reliability: Analysis and Prediction, </w:t>
      </w:r>
      <w:r>
        <w:rPr>
          <w:sz w:val="24"/>
        </w:rPr>
        <w:t>2nd edition, J Wiley, 1999.</w:t>
      </w:r>
    </w:p>
    <w:p>
      <w:pPr>
        <w:pStyle w:val="BodyText"/>
        <w:spacing w:before="6"/>
        <w:rPr>
          <w:sz w:val="31"/>
        </w:rPr>
      </w:pPr>
    </w:p>
    <w:p>
      <w:pPr>
        <w:spacing w:line="312" w:lineRule="auto" w:before="0"/>
        <w:ind w:left="897" w:right="113" w:hanging="720"/>
        <w:jc w:val="left"/>
        <w:rPr>
          <w:sz w:val="24"/>
        </w:rPr>
      </w:pPr>
      <w:r>
        <w:rPr>
          <w:sz w:val="24"/>
        </w:rPr>
        <w:t>[C10] Thoft-Christensen P and Baker M J, </w:t>
      </w:r>
      <w:r>
        <w:rPr>
          <w:i/>
          <w:sz w:val="24"/>
        </w:rPr>
        <w:t>Structural Reliability Theory and its Applications</w:t>
      </w:r>
      <w:r>
        <w:rPr>
          <w:sz w:val="24"/>
        </w:rPr>
        <w:t>, Springer-Verlag, 1982.</w:t>
      </w:r>
    </w:p>
    <w:p>
      <w:pPr>
        <w:pStyle w:val="BodyText"/>
        <w:spacing w:before="6"/>
        <w:rPr>
          <w:sz w:val="31"/>
        </w:rPr>
      </w:pPr>
    </w:p>
    <w:p>
      <w:pPr>
        <w:spacing w:line="312" w:lineRule="auto" w:before="0"/>
        <w:ind w:left="897" w:right="191" w:hanging="720"/>
        <w:jc w:val="left"/>
        <w:rPr>
          <w:sz w:val="24"/>
        </w:rPr>
      </w:pPr>
      <w:r>
        <w:rPr>
          <w:sz w:val="24"/>
        </w:rPr>
        <w:t>[C11] Thoft-Christensen P and Murotsu Y, </w:t>
      </w:r>
      <w:r>
        <w:rPr>
          <w:i/>
          <w:sz w:val="24"/>
        </w:rPr>
        <w:t>Application of Structural Systems Reliability Theory</w:t>
      </w:r>
      <w:r>
        <w:rPr>
          <w:sz w:val="24"/>
        </w:rPr>
        <w:t>, Springer-Verlag, 1986.</w:t>
      </w:r>
    </w:p>
    <w:p>
      <w:pPr>
        <w:pStyle w:val="BodyText"/>
        <w:spacing w:before="6"/>
        <w:rPr>
          <w:sz w:val="31"/>
        </w:rPr>
      </w:pPr>
    </w:p>
    <w:p>
      <w:pPr>
        <w:spacing w:before="0"/>
        <w:ind w:left="177" w:right="0" w:firstLine="0"/>
        <w:jc w:val="left"/>
        <w:rPr>
          <w:sz w:val="24"/>
        </w:rPr>
      </w:pPr>
      <w:r>
        <w:rPr>
          <w:sz w:val="24"/>
        </w:rPr>
        <w:t>[C12] CEB, </w:t>
      </w:r>
      <w:r>
        <w:rPr>
          <w:i/>
          <w:sz w:val="24"/>
        </w:rPr>
        <w:t>First Order Concepts for Design Codes</w:t>
      </w:r>
      <w:r>
        <w:rPr>
          <w:sz w:val="24"/>
        </w:rPr>
        <w:t>, CEB Bulletin No. 112, 1976.</w:t>
      </w:r>
    </w:p>
    <w:p>
      <w:pPr>
        <w:pStyle w:val="BodyText"/>
        <w:spacing w:before="7"/>
        <w:rPr>
          <w:sz w:val="38"/>
        </w:rPr>
      </w:pPr>
    </w:p>
    <w:p>
      <w:pPr>
        <w:spacing w:before="0"/>
        <w:ind w:left="177" w:right="0" w:firstLine="0"/>
        <w:jc w:val="left"/>
        <w:rPr>
          <w:i/>
          <w:sz w:val="24"/>
        </w:rPr>
      </w:pPr>
      <w:r>
        <w:rPr>
          <w:sz w:val="24"/>
        </w:rPr>
        <w:t>[C13] CEB, </w:t>
      </w:r>
      <w:r>
        <w:rPr>
          <w:i/>
          <w:sz w:val="24"/>
        </w:rPr>
        <w:t>Common Unified Rules for Different Types of Construction and Materials, Vol.</w:t>
      </w:r>
    </w:p>
    <w:p>
      <w:pPr>
        <w:pStyle w:val="BodyText"/>
        <w:spacing w:before="84"/>
        <w:ind w:left="897"/>
      </w:pPr>
      <w:r>
        <w:rPr>
          <w:i/>
        </w:rPr>
        <w:t>1, </w:t>
      </w:r>
      <w:r>
        <w:rPr/>
        <w:t>CEB Bulletin No. 116, 1976.</w:t>
      </w:r>
    </w:p>
    <w:p>
      <w:pPr>
        <w:spacing w:after="0"/>
        <w:sectPr>
          <w:pgSz w:w="11910" w:h="16840"/>
          <w:pgMar w:header="0" w:footer="788" w:top="1600" w:bottom="980" w:left="1240" w:right="1300"/>
        </w:sectPr>
      </w:pPr>
    </w:p>
    <w:p>
      <w:pPr>
        <w:spacing w:line="312" w:lineRule="auto" w:before="62"/>
        <w:ind w:left="897" w:right="191" w:hanging="721"/>
        <w:jc w:val="left"/>
        <w:rPr>
          <w:sz w:val="24"/>
        </w:rPr>
      </w:pPr>
      <w:r>
        <w:rPr>
          <w:sz w:val="24"/>
        </w:rPr>
        <w:t>[C14] Construction Industry Research and Information Association (CIRIA), </w:t>
      </w:r>
      <w:r>
        <w:rPr>
          <w:i/>
          <w:sz w:val="24"/>
        </w:rPr>
        <w:t>Rationalisation of Safety and Serviceability Factors in Structural Codes, </w:t>
      </w:r>
      <w:r>
        <w:rPr>
          <w:sz w:val="24"/>
        </w:rPr>
        <w:t>Report 63, London, 1977.</w:t>
      </w:r>
    </w:p>
    <w:p>
      <w:pPr>
        <w:pStyle w:val="BodyText"/>
        <w:spacing w:before="5"/>
        <w:rPr>
          <w:sz w:val="31"/>
        </w:rPr>
      </w:pPr>
    </w:p>
    <w:p>
      <w:pPr>
        <w:tabs>
          <w:tab w:pos="2336" w:val="left" w:leader="none"/>
          <w:tab w:pos="3799" w:val="left" w:leader="none"/>
          <w:tab w:pos="4286" w:val="left" w:leader="none"/>
          <w:tab w:pos="6002" w:val="left" w:leader="none"/>
          <w:tab w:pos="6817" w:val="left" w:leader="none"/>
          <w:tab w:pos="7812" w:val="left" w:leader="none"/>
          <w:tab w:pos="9009" w:val="left" w:leader="none"/>
        </w:tabs>
        <w:spacing w:line="312" w:lineRule="auto" w:before="1"/>
        <w:ind w:left="897" w:right="112" w:hanging="720"/>
        <w:jc w:val="left"/>
        <w:rPr>
          <w:sz w:val="24"/>
        </w:rPr>
      </w:pPr>
      <w:r>
        <w:rPr>
          <w:sz w:val="24"/>
        </w:rPr>
        <w:t>[C15] </w:t>
      </w:r>
      <w:r>
        <w:rPr>
          <w:spacing w:val="41"/>
          <w:sz w:val="24"/>
        </w:rPr>
        <w:t> </w:t>
      </w:r>
      <w:r>
        <w:rPr>
          <w:sz w:val="24"/>
        </w:rPr>
        <w:t>International</w:t>
        <w:tab/>
        <w:t>Organization</w:t>
        <w:tab/>
        <w:t>for</w:t>
        <w:tab/>
        <w:t>Standardization</w:t>
        <w:tab/>
        <w:t>(ISO),</w:t>
        <w:tab/>
      </w:r>
      <w:r>
        <w:rPr>
          <w:i/>
          <w:sz w:val="24"/>
        </w:rPr>
        <w:t>General</w:t>
        <w:tab/>
        <w:t>Principles</w:t>
        <w:tab/>
        <w:t>on Reliability for Structures</w:t>
      </w:r>
      <w:r>
        <w:rPr>
          <w:sz w:val="24"/>
        </w:rPr>
        <w:t>, ISO 2394, Third</w:t>
      </w:r>
      <w:r>
        <w:rPr>
          <w:spacing w:val="-1"/>
          <w:sz w:val="24"/>
        </w:rPr>
        <w:t> </w:t>
      </w:r>
      <w:r>
        <w:rPr>
          <w:sz w:val="24"/>
        </w:rPr>
        <w:t>edition.</w:t>
      </w:r>
    </w:p>
    <w:p>
      <w:pPr>
        <w:spacing w:after="0" w:line="312" w:lineRule="auto"/>
        <w:jc w:val="left"/>
        <w:rPr>
          <w:sz w:val="24"/>
        </w:rPr>
        <w:sectPr>
          <w:pgSz w:w="11910" w:h="16840"/>
          <w:pgMar w:header="0" w:footer="788" w:top="1460" w:bottom="980" w:left="1240" w:right="1300"/>
        </w:sectPr>
      </w:pPr>
    </w:p>
    <w:p>
      <w:pPr>
        <w:pStyle w:val="BodyText"/>
        <w:rPr>
          <w:sz w:val="20"/>
        </w:rPr>
      </w:pPr>
    </w:p>
    <w:p>
      <w:pPr>
        <w:pStyle w:val="BodyText"/>
        <w:spacing w:before="9"/>
        <w:rPr>
          <w:sz w:val="17"/>
        </w:rPr>
      </w:pPr>
    </w:p>
    <w:p>
      <w:pPr>
        <w:pStyle w:val="Heading2"/>
        <w:numPr>
          <w:ilvl w:val="0"/>
          <w:numId w:val="25"/>
        </w:numPr>
        <w:tabs>
          <w:tab w:pos="538" w:val="left" w:leader="none"/>
        </w:tabs>
        <w:spacing w:line="240" w:lineRule="auto" w:before="90" w:after="0"/>
        <w:ind w:left="537" w:right="0" w:hanging="360"/>
        <w:jc w:val="left"/>
      </w:pPr>
      <w:bookmarkStart w:name="_TOC_250003" w:id="47"/>
      <w:bookmarkEnd w:id="47"/>
      <w:r>
        <w:rPr/>
        <w:t>Annex D:Bayesian Interpretation of Probabilities</w:t>
      </w:r>
    </w:p>
    <w:p>
      <w:pPr>
        <w:pStyle w:val="BodyText"/>
        <w:rPr>
          <w:b/>
          <w:sz w:val="26"/>
        </w:rPr>
      </w:pPr>
    </w:p>
    <w:p>
      <w:pPr>
        <w:pStyle w:val="Heading2"/>
        <w:numPr>
          <w:ilvl w:val="1"/>
          <w:numId w:val="25"/>
        </w:numPr>
        <w:tabs>
          <w:tab w:pos="969" w:val="left" w:leader="none"/>
          <w:tab w:pos="970" w:val="left" w:leader="none"/>
        </w:tabs>
        <w:spacing w:line="240" w:lineRule="auto" w:before="185" w:after="0"/>
        <w:ind w:left="969" w:right="0" w:hanging="792"/>
        <w:jc w:val="left"/>
      </w:pPr>
      <w:bookmarkStart w:name="_TOC_250002" w:id="48"/>
      <w:bookmarkEnd w:id="48"/>
      <w:r>
        <w:rPr/>
        <w:t>Introduction</w:t>
      </w:r>
    </w:p>
    <w:p>
      <w:pPr>
        <w:pStyle w:val="BodyText"/>
        <w:rPr>
          <w:b/>
          <w:sz w:val="26"/>
        </w:rPr>
      </w:pPr>
    </w:p>
    <w:p>
      <w:pPr>
        <w:pStyle w:val="BodyText"/>
        <w:spacing w:before="10"/>
        <w:rPr>
          <w:b/>
          <w:sz w:val="22"/>
        </w:rPr>
      </w:pPr>
    </w:p>
    <w:p>
      <w:pPr>
        <w:pStyle w:val="BodyText"/>
        <w:spacing w:line="312" w:lineRule="auto"/>
        <w:ind w:left="177" w:right="111"/>
        <w:jc w:val="both"/>
      </w:pPr>
      <w:r>
        <w:rPr/>
        <w:t>This JCSS Probabilistic Model Code offers distribution functions and corresponding parameter models for loads and structural properties in order to carry out failure probability calculations for comparison with specified reliability targets. This annex gives guidance on the interpretation of both input and results of those calculations.</w:t>
      </w:r>
    </w:p>
    <w:p>
      <w:pPr>
        <w:pStyle w:val="BodyText"/>
        <w:spacing w:before="8"/>
        <w:rPr>
          <w:sz w:val="31"/>
        </w:rPr>
      </w:pPr>
    </w:p>
    <w:p>
      <w:pPr>
        <w:pStyle w:val="BodyText"/>
        <w:spacing w:line="312" w:lineRule="auto" w:before="1"/>
        <w:ind w:left="177" w:right="758"/>
      </w:pPr>
      <w:r>
        <w:rPr/>
        <w:t>For the sake of discussion three possible alternatives of interpretation will be mentioned:</w:t>
      </w:r>
    </w:p>
    <w:p>
      <w:pPr>
        <w:pStyle w:val="BodyText"/>
        <w:spacing w:before="5"/>
        <w:rPr>
          <w:sz w:val="31"/>
        </w:rPr>
      </w:pPr>
    </w:p>
    <w:p>
      <w:pPr>
        <w:pStyle w:val="ListParagraph"/>
        <w:numPr>
          <w:ilvl w:val="0"/>
          <w:numId w:val="26"/>
        </w:numPr>
        <w:tabs>
          <w:tab w:pos="538" w:val="left" w:leader="none"/>
        </w:tabs>
        <w:spacing w:line="240" w:lineRule="auto" w:before="0" w:after="0"/>
        <w:ind w:left="537" w:right="0" w:hanging="360"/>
        <w:jc w:val="both"/>
        <w:rPr>
          <w:sz w:val="24"/>
        </w:rPr>
      </w:pPr>
      <w:r>
        <w:rPr>
          <w:sz w:val="24"/>
        </w:rPr>
        <w:t>the frequentistic</w:t>
      </w:r>
      <w:r>
        <w:rPr>
          <w:spacing w:val="-1"/>
          <w:sz w:val="24"/>
        </w:rPr>
        <w:t> </w:t>
      </w:r>
      <w:r>
        <w:rPr>
          <w:sz w:val="24"/>
        </w:rPr>
        <w:t>interpretation</w:t>
      </w:r>
    </w:p>
    <w:p>
      <w:pPr>
        <w:pStyle w:val="ListParagraph"/>
        <w:numPr>
          <w:ilvl w:val="0"/>
          <w:numId w:val="26"/>
        </w:numPr>
        <w:tabs>
          <w:tab w:pos="538" w:val="left" w:leader="none"/>
        </w:tabs>
        <w:spacing w:line="240" w:lineRule="auto" w:before="85" w:after="0"/>
        <w:ind w:left="537" w:right="0" w:hanging="360"/>
        <w:jc w:val="both"/>
        <w:rPr>
          <w:sz w:val="24"/>
        </w:rPr>
      </w:pPr>
      <w:r>
        <w:rPr>
          <w:sz w:val="24"/>
        </w:rPr>
        <w:t>a purely formal</w:t>
      </w:r>
      <w:r>
        <w:rPr>
          <w:spacing w:val="-1"/>
          <w:sz w:val="24"/>
        </w:rPr>
        <w:t> </w:t>
      </w:r>
      <w:r>
        <w:rPr>
          <w:sz w:val="24"/>
        </w:rPr>
        <w:t>interpretation</w:t>
      </w:r>
    </w:p>
    <w:p>
      <w:pPr>
        <w:pStyle w:val="ListParagraph"/>
        <w:numPr>
          <w:ilvl w:val="0"/>
          <w:numId w:val="26"/>
        </w:numPr>
        <w:tabs>
          <w:tab w:pos="538" w:val="left" w:leader="none"/>
        </w:tabs>
        <w:spacing w:line="240" w:lineRule="auto" w:before="84" w:after="0"/>
        <w:ind w:left="537" w:right="0" w:hanging="360"/>
        <w:jc w:val="both"/>
        <w:rPr>
          <w:sz w:val="24"/>
        </w:rPr>
      </w:pPr>
      <w:r>
        <w:rPr>
          <w:sz w:val="24"/>
        </w:rPr>
        <w:t>the Bayesian interpretation</w:t>
      </w:r>
    </w:p>
    <w:p>
      <w:pPr>
        <w:pStyle w:val="BodyText"/>
        <w:spacing w:before="6"/>
        <w:rPr>
          <w:sz w:val="38"/>
        </w:rPr>
      </w:pPr>
    </w:p>
    <w:p>
      <w:pPr>
        <w:pStyle w:val="BodyText"/>
        <w:spacing w:before="1"/>
        <w:ind w:left="177"/>
        <w:jc w:val="both"/>
      </w:pPr>
      <w:r>
        <w:rPr/>
        <w:t>They will be discussed in the following section.</w:t>
      </w:r>
    </w:p>
    <w:p>
      <w:pPr>
        <w:pStyle w:val="BodyText"/>
        <w:rPr>
          <w:sz w:val="26"/>
        </w:rPr>
      </w:pPr>
    </w:p>
    <w:p>
      <w:pPr>
        <w:pStyle w:val="Heading2"/>
        <w:numPr>
          <w:ilvl w:val="1"/>
          <w:numId w:val="25"/>
        </w:numPr>
        <w:tabs>
          <w:tab w:pos="970" w:val="left" w:leader="none"/>
        </w:tabs>
        <w:spacing w:line="240" w:lineRule="auto" w:before="188" w:after="0"/>
        <w:ind w:left="969" w:right="0" w:hanging="792"/>
        <w:jc w:val="both"/>
      </w:pPr>
      <w:bookmarkStart w:name="_TOC_250001" w:id="49"/>
      <w:bookmarkEnd w:id="49"/>
      <w:r>
        <w:rPr/>
        <w:t>Discussion</w:t>
      </w:r>
    </w:p>
    <w:p>
      <w:pPr>
        <w:pStyle w:val="BodyText"/>
        <w:rPr>
          <w:b/>
          <w:sz w:val="26"/>
        </w:rPr>
      </w:pPr>
    </w:p>
    <w:p>
      <w:pPr>
        <w:pStyle w:val="BodyText"/>
        <w:spacing w:before="9"/>
        <w:rPr>
          <w:b/>
          <w:sz w:val="22"/>
        </w:rPr>
      </w:pPr>
    </w:p>
    <w:p>
      <w:pPr>
        <w:pStyle w:val="BodyText"/>
        <w:spacing w:line="312" w:lineRule="auto" w:before="1"/>
        <w:ind w:left="177" w:right="110"/>
        <w:jc w:val="both"/>
      </w:pPr>
      <w:r>
        <w:rPr/>
        <w:t>The </w:t>
      </w:r>
      <w:r>
        <w:rPr>
          <w:i/>
        </w:rPr>
        <w:t>frequentistic </w:t>
      </w:r>
      <w:r>
        <w:rPr/>
        <w:t>interpretation is quite straight forward. It means that if one observes for a long period of time, say </w:t>
      </w:r>
      <w:r>
        <w:rPr>
          <w:i/>
        </w:rPr>
        <w:t>T</w:t>
      </w:r>
      <w:r>
        <w:rPr/>
        <w:t>, a large set of say </w:t>
      </w:r>
      <w:r>
        <w:rPr>
          <w:i/>
        </w:rPr>
        <w:t>N </w:t>
      </w:r>
      <w:r>
        <w:rPr/>
        <w:t>similar structures, all having a failure rate of </w:t>
      </w:r>
      <w:r>
        <w:rPr>
          <w:i/>
        </w:rPr>
        <w:t>p </w:t>
      </w:r>
      <w:r>
        <w:rPr/>
        <w:t>[1/year], one expects the number of failures not to deviate too far from </w:t>
      </w:r>
      <w:r>
        <w:rPr>
          <w:i/>
        </w:rPr>
        <w:t>pTN</w:t>
      </w:r>
      <w:r>
        <w:rPr/>
        <w:t>. The deviation should fall within the rules of combinatory probabilistic calculations. Such an interpretation, however, can only be justified in a stationary world where the amount of statistical or theoretical evidence for the all distribution functions is very large. It should be clear that such a frequentistic interpretation of the failure probabilities is out of the question in the field of structural design. In almost all cases the data is too scarce and often only of a very generic nature. Note, however, that a frequentistic interpretation still can be used in a conditional sense. The statement that, given a set of statistical models for the various variables, a  structure has some failure probability, is meaningful and</w:t>
      </w:r>
      <w:r>
        <w:rPr>
          <w:spacing w:val="-2"/>
        </w:rPr>
        <w:t> </w:t>
      </w:r>
      <w:r>
        <w:rPr/>
        <w:t>helpful.</w:t>
      </w:r>
    </w:p>
    <w:p>
      <w:pPr>
        <w:pStyle w:val="BodyText"/>
        <w:spacing w:before="5"/>
        <w:rPr>
          <w:sz w:val="32"/>
        </w:rPr>
      </w:pPr>
    </w:p>
    <w:p>
      <w:pPr>
        <w:pStyle w:val="BodyText"/>
        <w:spacing w:line="312" w:lineRule="auto"/>
        <w:ind w:left="177" w:right="111"/>
        <w:jc w:val="both"/>
      </w:pPr>
      <w:r>
        <w:rPr/>
        <w:t>The interpretation mentioned above given as second, that is the </w:t>
      </w:r>
      <w:r>
        <w:rPr>
          <w:i/>
        </w:rPr>
        <w:t>formal </w:t>
      </w:r>
      <w:r>
        <w:rPr/>
        <w:t>approach, gives full credit to the fact that the numbers used in the analysis are based on (common) ideas rather than statistical evidence. The probabilistic design is considered as a strictly formal procedure without</w:t>
      </w:r>
      <w:r>
        <w:rPr>
          <w:spacing w:val="25"/>
        </w:rPr>
        <w:t> </w:t>
      </w:r>
      <w:r>
        <w:rPr/>
        <w:t>any</w:t>
      </w:r>
      <w:r>
        <w:rPr>
          <w:spacing w:val="25"/>
        </w:rPr>
        <w:t> </w:t>
      </w:r>
      <w:r>
        <w:rPr/>
        <w:t>meaning</w:t>
      </w:r>
      <w:r>
        <w:rPr>
          <w:spacing w:val="25"/>
        </w:rPr>
        <w:t> </w:t>
      </w:r>
      <w:r>
        <w:rPr/>
        <w:t>or</w:t>
      </w:r>
      <w:r>
        <w:rPr>
          <w:spacing w:val="25"/>
        </w:rPr>
        <w:t> </w:t>
      </w:r>
      <w:r>
        <w:rPr/>
        <w:t>interpretation.</w:t>
      </w:r>
      <w:r>
        <w:rPr>
          <w:spacing w:val="25"/>
        </w:rPr>
        <w:t> </w:t>
      </w:r>
      <w:r>
        <w:rPr/>
        <w:t>Such</w:t>
      </w:r>
      <w:r>
        <w:rPr>
          <w:spacing w:val="25"/>
        </w:rPr>
        <w:t> </w:t>
      </w:r>
      <w:r>
        <w:rPr/>
        <w:t>a</w:t>
      </w:r>
      <w:r>
        <w:rPr>
          <w:spacing w:val="25"/>
        </w:rPr>
        <w:t> </w:t>
      </w:r>
      <w:r>
        <w:rPr/>
        <w:t>procedure</w:t>
      </w:r>
      <w:r>
        <w:rPr>
          <w:spacing w:val="25"/>
        </w:rPr>
        <w:t> </w:t>
      </w:r>
      <w:r>
        <w:rPr/>
        <w:t>can</w:t>
      </w:r>
      <w:r>
        <w:rPr>
          <w:spacing w:val="25"/>
        </w:rPr>
        <w:t> </w:t>
      </w:r>
      <w:r>
        <w:rPr/>
        <w:t>be</w:t>
      </w:r>
      <w:r>
        <w:rPr>
          <w:spacing w:val="25"/>
        </w:rPr>
        <w:t> </w:t>
      </w:r>
      <w:r>
        <w:rPr/>
        <w:t>believed</w:t>
      </w:r>
      <w:r>
        <w:rPr>
          <w:spacing w:val="25"/>
        </w:rPr>
        <w:t> </w:t>
      </w:r>
      <w:r>
        <w:rPr/>
        <w:t>to</w:t>
      </w:r>
      <w:r>
        <w:rPr>
          <w:spacing w:val="25"/>
        </w:rPr>
        <w:t> </w:t>
      </w:r>
      <w:r>
        <w:rPr/>
        <w:t>be</w:t>
      </w:r>
      <w:r>
        <w:rPr>
          <w:spacing w:val="25"/>
        </w:rPr>
        <w:t> </w:t>
      </w:r>
      <w:r>
        <w:rPr/>
        <w:t>a</w:t>
      </w:r>
      <w:r>
        <w:rPr>
          <w:spacing w:val="25"/>
        </w:rPr>
        <w:t> </w:t>
      </w:r>
      <w:r>
        <w:rPr/>
        <w:t>more</w:t>
      </w:r>
      <w:r>
        <w:rPr>
          <w:spacing w:val="25"/>
        </w:rPr>
        <w:t> </w:t>
      </w:r>
      <w:r>
        <w:rPr/>
        <w:t>rich</w:t>
      </w:r>
    </w:p>
    <w:p>
      <w:pPr>
        <w:spacing w:after="0" w:line="312" w:lineRule="auto"/>
        <w:jc w:val="both"/>
        <w:sectPr>
          <w:pgSz w:w="11910" w:h="16840"/>
          <w:pgMar w:header="0" w:footer="788" w:top="1600" w:bottom="980" w:left="1240" w:right="1300"/>
        </w:sectPr>
      </w:pPr>
    </w:p>
    <w:p>
      <w:pPr>
        <w:pStyle w:val="BodyText"/>
        <w:spacing w:line="312" w:lineRule="auto" w:before="62"/>
        <w:ind w:left="177" w:right="111"/>
        <w:jc w:val="both"/>
      </w:pPr>
      <w:r>
        <w:rPr/>
        <w:t>and consistent design procedure compared to for instance a Partial Factor Method or Allowable Stress method. The basic philosophy is that a probabilistic design procedure, running on the average the same design result as its successful predecessors, is a at least as good as or even better then the other methods. So calibration on the average result is the key point and the absolute values of the distributions and the failure probabilities have no  meaning at all. An alternative code, prescribing higher standard deviations (resulting in higher failure probabilities) and corresponding higher target probabilities is considered as fully equivalent.</w:t>
      </w:r>
    </w:p>
    <w:p>
      <w:pPr>
        <w:pStyle w:val="BodyText"/>
        <w:spacing w:before="1"/>
        <w:rPr>
          <w:sz w:val="32"/>
        </w:rPr>
      </w:pPr>
    </w:p>
    <w:p>
      <w:pPr>
        <w:pStyle w:val="BodyText"/>
        <w:spacing w:line="312" w:lineRule="auto"/>
        <w:ind w:left="177" w:right="111"/>
        <w:jc w:val="both"/>
      </w:pPr>
      <w:r>
        <w:rPr/>
        <w:t>To some extent this formal interpretation has many advantages, but is difficult to maintain. In many cases, it is at least convenient if the various values in the probabilistic calculations have some meaning in the real world. It should be possible, for instance, to consider the  distribution functions in this code as the best estimate to describe our lack of knowledge and use them as priors for Bayesian updating procedures in the case of new data. It should also be possible to use the models for decision making in structural design and optimisation procedures for target reliabilities. If this cannot be done the method loses many features of its attraction.</w:t>
      </w:r>
    </w:p>
    <w:p>
      <w:pPr>
        <w:pStyle w:val="BodyText"/>
        <w:spacing w:before="2"/>
        <w:rPr>
          <w:sz w:val="32"/>
        </w:rPr>
      </w:pPr>
    </w:p>
    <w:p>
      <w:pPr>
        <w:pStyle w:val="BodyText"/>
        <w:spacing w:line="312" w:lineRule="auto"/>
        <w:ind w:left="177" w:right="111" w:hanging="1"/>
        <w:jc w:val="both"/>
      </w:pPr>
      <w:r>
        <w:rPr/>
        <w:t>This leads into the direction of a </w:t>
      </w:r>
      <w:r>
        <w:rPr>
          <w:i/>
        </w:rPr>
        <w:t>Bayesian </w:t>
      </w:r>
      <w:r>
        <w:rPr/>
        <w:t>probability interpretation, where probabilities are considered as the best possible expression of the degree of belief in the occurrence of a  certain event. The Bayesian interpretation does not claim that probabilities are direct and unbiased predictors of occurrence frequencies that can be observed in practice. The  only claim is that, if the analysis is carried out carefully, the probabilities will be correct if averaged over a large number of decision situations. The requirement to fulfil that claim, of course, is that the purely intuitive part is neither systematically too optimistic nor systematically too pessimistic. The calibration to common practice on the average may be considered as an adequate means to achieve that</w:t>
      </w:r>
      <w:r>
        <w:rPr>
          <w:spacing w:val="-1"/>
        </w:rPr>
        <w:t> </w:t>
      </w:r>
      <w:r>
        <w:rPr/>
        <w:t>goal.</w:t>
      </w:r>
    </w:p>
    <w:p>
      <w:pPr>
        <w:pStyle w:val="BodyText"/>
        <w:spacing w:before="3"/>
        <w:rPr>
          <w:sz w:val="32"/>
        </w:rPr>
      </w:pPr>
    </w:p>
    <w:p>
      <w:pPr>
        <w:pStyle w:val="BodyText"/>
        <w:spacing w:line="312" w:lineRule="auto"/>
        <w:ind w:left="177" w:right="112"/>
        <w:jc w:val="both"/>
      </w:pPr>
      <w:r>
        <w:rPr/>
        <w:t>The above statement may sound vague and unsatisfactory at first sight. There seems to be an almost unlimited freedom to make unproven assessments based on a very individual intuition only. In this respect, one should keep in mind that:</w:t>
      </w:r>
    </w:p>
    <w:p>
      <w:pPr>
        <w:pStyle w:val="BodyText"/>
        <w:spacing w:before="7"/>
        <w:rPr>
          <w:sz w:val="31"/>
        </w:rPr>
      </w:pPr>
    </w:p>
    <w:p>
      <w:pPr>
        <w:pStyle w:val="ListParagraph"/>
        <w:numPr>
          <w:ilvl w:val="0"/>
          <w:numId w:val="27"/>
        </w:numPr>
        <w:tabs>
          <w:tab w:pos="538" w:val="left" w:leader="none"/>
        </w:tabs>
        <w:spacing w:line="312" w:lineRule="auto" w:before="1" w:after="0"/>
        <w:ind w:left="537" w:right="110" w:hanging="360"/>
        <w:jc w:val="both"/>
        <w:rPr>
          <w:sz w:val="24"/>
        </w:rPr>
      </w:pPr>
      <w:r>
        <w:rPr>
          <w:sz w:val="24"/>
        </w:rPr>
        <w:t>where data is lacking, statistical parameters like means and standard deviations are not taken as deterministic point estimates but as random quantities usually with a wide scatter; in this code the scatter is not the opinion of an individual engineer, but it is based on the judgement of a group of</w:t>
      </w:r>
      <w:r>
        <w:rPr>
          <w:spacing w:val="-1"/>
          <w:sz w:val="24"/>
        </w:rPr>
        <w:t> </w:t>
      </w:r>
      <w:r>
        <w:rPr>
          <w:sz w:val="24"/>
        </w:rPr>
        <w:t>engineers.</w:t>
      </w:r>
    </w:p>
    <w:p>
      <w:pPr>
        <w:spacing w:after="0" w:line="312" w:lineRule="auto"/>
        <w:jc w:val="both"/>
        <w:rPr>
          <w:sz w:val="24"/>
        </w:rPr>
        <w:sectPr>
          <w:pgSz w:w="11910" w:h="16840"/>
          <w:pgMar w:header="0" w:footer="788" w:top="1460" w:bottom="980" w:left="1240" w:right="1300"/>
        </w:sectPr>
      </w:pPr>
    </w:p>
    <w:p>
      <w:pPr>
        <w:pStyle w:val="ListParagraph"/>
        <w:numPr>
          <w:ilvl w:val="0"/>
          <w:numId w:val="27"/>
        </w:numPr>
        <w:tabs>
          <w:tab w:pos="538" w:val="left" w:leader="none"/>
        </w:tabs>
        <w:spacing w:line="312" w:lineRule="auto" w:before="62" w:after="0"/>
        <w:ind w:left="537" w:right="113" w:hanging="360"/>
        <w:jc w:val="both"/>
        <w:rPr>
          <w:sz w:val="24"/>
        </w:rPr>
      </w:pPr>
      <w:r>
        <w:rPr>
          <w:sz w:val="24"/>
        </w:rPr>
        <w:t>where data is available, estimates can (and often should) be improved on the basis of it; the minimum requirement is that intuitive probability models should not be in contradiction with the data.</w:t>
      </w:r>
    </w:p>
    <w:p>
      <w:pPr>
        <w:pStyle w:val="BodyText"/>
        <w:spacing w:before="7"/>
        <w:rPr>
          <w:sz w:val="31"/>
        </w:rPr>
      </w:pPr>
    </w:p>
    <w:p>
      <w:pPr>
        <w:pStyle w:val="BodyText"/>
        <w:spacing w:line="312" w:lineRule="auto"/>
        <w:ind w:left="177" w:right="109"/>
        <w:jc w:val="both"/>
      </w:pPr>
      <w:r>
        <w:rPr/>
        <w:t>Within the Bayesian Probability Theory these starting points have been rigorously formalised. As long as no data is available, a so called uninformative or vague prior estimate is chosen. Given observations, the prior can be updated to a so called posterior distribution, using  Bayes’ Theorem. For details the reader is referred to Part 3.0, Material Properties, General Principles, Annex A. It should be noted that, in the case of sufficient data, this procedure will tend to probability statements that can be interpreted in a purely frequentistic</w:t>
      </w:r>
      <w:r>
        <w:rPr>
          <w:spacing w:val="-2"/>
        </w:rPr>
        <w:t> </w:t>
      </w:r>
      <w:r>
        <w:rPr/>
        <w:t>way.</w:t>
      </w:r>
    </w:p>
    <w:p>
      <w:pPr>
        <w:pStyle w:val="BodyText"/>
        <w:spacing w:before="11"/>
        <w:rPr>
          <w:sz w:val="31"/>
        </w:rPr>
      </w:pPr>
    </w:p>
    <w:p>
      <w:pPr>
        <w:pStyle w:val="BodyText"/>
        <w:spacing w:line="312" w:lineRule="auto"/>
        <w:ind w:left="177" w:right="112"/>
        <w:jc w:val="both"/>
      </w:pPr>
      <w:r>
        <w:rPr/>
        <w:t>Data may of course become available in blocks: in such a case the posterior distribution resulting from the first block may be used as a prior distribution for the second data block. That is, in fact, precisely what is present in the various chapters of Parts 2 and 3:</w:t>
      </w:r>
      <w:r>
        <w:rPr>
          <w:spacing w:val="7"/>
        </w:rPr>
        <w:t> </w:t>
      </w:r>
      <w:r>
        <w:rPr/>
        <w:t>the distributions given can often be considered as “data based priors” based on data from a generic world wide population. These models can be “updated” if data of a specific site or a specific producer are available.</w:t>
      </w:r>
    </w:p>
    <w:p>
      <w:pPr>
        <w:pStyle w:val="BodyText"/>
        <w:spacing w:before="10"/>
        <w:rPr>
          <w:sz w:val="31"/>
        </w:rPr>
      </w:pPr>
    </w:p>
    <w:p>
      <w:pPr>
        <w:pStyle w:val="BodyText"/>
        <w:spacing w:line="312" w:lineRule="auto" w:before="1"/>
        <w:ind w:left="177" w:right="109"/>
        <w:jc w:val="both"/>
      </w:pPr>
      <w:r>
        <w:rPr/>
        <w:t>Practically spoken, lack of statistical data may lead to (1) uncertainties in statistical parameters (mean, standard deviation, etc) and (2) uncertainty in the type of distribution (normal, lognormal, Weibull, etc). It turns out that the latter type of uncertainty needs unrealistic much data to get a substantial reduction, while calculation results may be very sensitive to it. Also, such large data sets fulfilling the stationarity requirement may hardly be available. It is exactly on this point that there is a need to standardise the input. It should be noted that in this code most distribution types have the nature of a ”point estimate”,  neglecting to some extend the distribution</w:t>
      </w:r>
      <w:r>
        <w:rPr>
          <w:spacing w:val="-1"/>
        </w:rPr>
        <w:t> </w:t>
      </w:r>
      <w:r>
        <w:rPr/>
        <w:t>uncertainty.</w:t>
      </w:r>
    </w:p>
    <w:p>
      <w:pPr>
        <w:pStyle w:val="BodyText"/>
        <w:spacing w:before="10"/>
        <w:rPr>
          <w:sz w:val="35"/>
        </w:rPr>
      </w:pPr>
    </w:p>
    <w:p>
      <w:pPr>
        <w:pStyle w:val="Heading2"/>
        <w:numPr>
          <w:ilvl w:val="1"/>
          <w:numId w:val="25"/>
        </w:numPr>
        <w:tabs>
          <w:tab w:pos="970" w:val="left" w:leader="none"/>
        </w:tabs>
        <w:spacing w:line="240" w:lineRule="auto" w:before="0" w:after="0"/>
        <w:ind w:left="969" w:right="0" w:hanging="792"/>
        <w:jc w:val="both"/>
      </w:pPr>
      <w:bookmarkStart w:name="_TOC_250000" w:id="50"/>
      <w:bookmarkEnd w:id="50"/>
      <w:r>
        <w:rPr/>
        <w:t>Conclusion</w:t>
      </w:r>
    </w:p>
    <w:p>
      <w:pPr>
        <w:pStyle w:val="BodyText"/>
        <w:rPr>
          <w:b/>
          <w:sz w:val="26"/>
        </w:rPr>
      </w:pPr>
    </w:p>
    <w:p>
      <w:pPr>
        <w:pStyle w:val="BodyText"/>
        <w:spacing w:before="10"/>
        <w:rPr>
          <w:b/>
          <w:sz w:val="22"/>
        </w:rPr>
      </w:pPr>
    </w:p>
    <w:p>
      <w:pPr>
        <w:pStyle w:val="BodyText"/>
        <w:spacing w:line="312" w:lineRule="auto"/>
        <w:ind w:left="177" w:right="112"/>
        <w:jc w:val="both"/>
      </w:pPr>
      <w:r>
        <w:rPr/>
        <w:t>The conclusion of the foregoing is that distributions and probabilities in this Model Code should be given a Bayesian degree of belief type interpretation. One may use the distributions as a start for updating in the presence of specific structure related data and as a basis for optimisation.</w:t>
      </w:r>
    </w:p>
    <w:p>
      <w:pPr>
        <w:pStyle w:val="BodyText"/>
        <w:spacing w:before="11"/>
        <w:rPr>
          <w:sz w:val="31"/>
        </w:rPr>
      </w:pPr>
    </w:p>
    <w:p>
      <w:pPr>
        <w:pStyle w:val="Heading2"/>
        <w:ind w:left="177" w:firstLine="0"/>
        <w:jc w:val="both"/>
      </w:pPr>
      <w:r>
        <w:rPr/>
        <w:t>Some reflections for closure:</w:t>
      </w:r>
    </w:p>
    <w:p>
      <w:pPr>
        <w:spacing w:after="0"/>
        <w:jc w:val="both"/>
        <w:sectPr>
          <w:pgSz w:w="11910" w:h="16840"/>
          <w:pgMar w:header="0" w:footer="788" w:top="1460" w:bottom="980" w:left="1240" w:right="1300"/>
        </w:sectPr>
      </w:pPr>
    </w:p>
    <w:p>
      <w:pPr>
        <w:pStyle w:val="ListParagraph"/>
        <w:numPr>
          <w:ilvl w:val="0"/>
          <w:numId w:val="28"/>
        </w:numPr>
        <w:tabs>
          <w:tab w:pos="523" w:val="left" w:leader="none"/>
        </w:tabs>
        <w:spacing w:line="312" w:lineRule="auto" w:before="62" w:after="0"/>
        <w:ind w:left="177" w:right="112" w:firstLine="0"/>
        <w:jc w:val="both"/>
        <w:rPr>
          <w:sz w:val="24"/>
        </w:rPr>
      </w:pPr>
      <w:r>
        <w:rPr>
          <w:sz w:val="24"/>
        </w:rPr>
        <w:t>The numbers given in this code do not include the effect of gross errors. This is one of the main sources of the deviation between calculated probabilities and failure frequencies in practice.</w:t>
      </w:r>
    </w:p>
    <w:p>
      <w:pPr>
        <w:pStyle w:val="BodyText"/>
        <w:spacing w:before="7"/>
        <w:rPr>
          <w:sz w:val="31"/>
        </w:rPr>
      </w:pPr>
    </w:p>
    <w:p>
      <w:pPr>
        <w:pStyle w:val="ListParagraph"/>
        <w:numPr>
          <w:ilvl w:val="0"/>
          <w:numId w:val="28"/>
        </w:numPr>
        <w:tabs>
          <w:tab w:pos="525" w:val="left" w:leader="none"/>
        </w:tabs>
        <w:spacing w:line="312" w:lineRule="auto" w:before="0" w:after="0"/>
        <w:ind w:left="177" w:right="110" w:firstLine="0"/>
        <w:jc w:val="both"/>
        <w:rPr>
          <w:sz w:val="24"/>
        </w:rPr>
      </w:pPr>
      <w:r>
        <w:rPr>
          <w:sz w:val="24"/>
        </w:rPr>
        <w:t>The justification for a Bayesian probabilistic approach in decision making is that it makes the anyhow inevitable judgement part explicit and minimises the influence of it. The return to so called deterministic procedures because of a lack of statistical data is no realistic alternative.</w:t>
      </w:r>
    </w:p>
    <w:p>
      <w:pPr>
        <w:pStyle w:val="BodyText"/>
        <w:spacing w:before="8"/>
        <w:rPr>
          <w:sz w:val="31"/>
        </w:rPr>
      </w:pPr>
    </w:p>
    <w:p>
      <w:pPr>
        <w:pStyle w:val="ListParagraph"/>
        <w:numPr>
          <w:ilvl w:val="0"/>
          <w:numId w:val="28"/>
        </w:numPr>
        <w:tabs>
          <w:tab w:pos="531" w:val="left" w:leader="none"/>
        </w:tabs>
        <w:spacing w:line="312" w:lineRule="auto" w:before="0" w:after="0"/>
        <w:ind w:left="177" w:right="111" w:firstLine="0"/>
        <w:jc w:val="both"/>
        <w:rPr>
          <w:sz w:val="24"/>
        </w:rPr>
      </w:pPr>
      <w:r>
        <w:rPr>
          <w:sz w:val="24"/>
        </w:rPr>
        <w:t>In the Bayesian procedure the prior, if no explicit data is available, is often referred to as “subjective” or “person dependent”. In the case of this code this would not be the right terminology. The priors given are not the result of the ideas and experience of a single individual, but of a large group of experts. This gives the distributions some flavour of objectivity, however, of course, still on an intuitive</w:t>
      </w:r>
      <w:r>
        <w:rPr>
          <w:spacing w:val="-1"/>
          <w:sz w:val="24"/>
        </w:rPr>
        <w:t> </w:t>
      </w:r>
      <w:r>
        <w:rPr>
          <w:sz w:val="24"/>
        </w:rPr>
        <w:t>basis.</w:t>
      </w:r>
    </w:p>
    <w:p>
      <w:pPr>
        <w:pStyle w:val="BodyText"/>
        <w:spacing w:before="10"/>
        <w:rPr>
          <w:sz w:val="31"/>
        </w:rPr>
      </w:pPr>
    </w:p>
    <w:p>
      <w:pPr>
        <w:pStyle w:val="ListParagraph"/>
        <w:numPr>
          <w:ilvl w:val="0"/>
          <w:numId w:val="28"/>
        </w:numPr>
        <w:tabs>
          <w:tab w:pos="579" w:val="left" w:leader="none"/>
        </w:tabs>
        <w:spacing w:line="312" w:lineRule="auto" w:before="0" w:after="0"/>
        <w:ind w:left="177" w:right="112" w:firstLine="0"/>
        <w:jc w:val="both"/>
        <w:rPr>
          <w:sz w:val="24"/>
        </w:rPr>
      </w:pPr>
      <w:r>
        <w:rPr>
          <w:sz w:val="24"/>
        </w:rPr>
        <w:t>The system of given distributions and their use in Bayesian updating and Bayesian decision procedures may be considered as a formal procedure in</w:t>
      </w:r>
      <w:r>
        <w:rPr>
          <w:spacing w:val="-1"/>
          <w:sz w:val="24"/>
        </w:rPr>
        <w:t> </w:t>
      </w:r>
      <w:r>
        <w:rPr>
          <w:sz w:val="24"/>
        </w:rPr>
        <w:t>itself.</w:t>
      </w:r>
    </w:p>
    <w:sectPr>
      <w:pgSz w:w="11910" w:h="16840"/>
      <w:pgMar w:header="0" w:footer="788" w:top="1460" w:bottom="980" w:left="1240" w:right="13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Arial-BoldItalicMT">
    <w:altName w:val="Arial-BoldItalicMT"/>
    <w:charset w:val="0"/>
    <w:family w:val="swiss"/>
    <w:pitch w:val="variable"/>
  </w:font>
  <w:font w:name="TimesNewRomanPS-BoldItalicMT">
    <w:altName w:val="TimesNewRomanPS-BoldItalicMT"/>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510.458466pt;margin-top:791.558838pt;width:16.05pt;height:15.35pt;mso-position-horizontal-relative:page;mso-position-vertical-relative:page;z-index:-58936" type="#_x0000_t202" filled="false" stroked="false">
          <v:textbox inset="0,0,0,0">
            <w:txbxContent>
              <w:p>
                <w:pPr>
                  <w:pStyle w:val="BodyText"/>
                  <w:spacing w:before="10"/>
                  <w:ind w:left="40"/>
                </w:pPr>
                <w:r>
                  <w:rPr/>
                  <w:fldChar w:fldCharType="begin"/>
                </w:r>
                <w:r>
                  <w:rPr/>
                  <w:instrText> PAGE </w:instrText>
                </w:r>
                <w:r>
                  <w:rPr/>
                  <w:fldChar w:fldCharType="separate"/>
                </w:r>
                <w:r>
                  <w:rPr/>
                  <w:t>25</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7">
    <w:multiLevelType w:val="hybridMultilevel"/>
    <w:lvl w:ilvl="0">
      <w:start w:val="1"/>
      <w:numFmt w:val="decimal"/>
      <w:lvlText w:val="(%1)"/>
      <w:lvlJc w:val="left"/>
      <w:pPr>
        <w:ind w:left="177" w:hanging="345"/>
        <w:jc w:val="left"/>
      </w:pPr>
      <w:rPr>
        <w:rFonts w:hint="default" w:ascii="Times New Roman" w:hAnsi="Times New Roman" w:eastAsia="Times New Roman" w:cs="Times New Roman"/>
        <w:w w:val="100"/>
        <w:sz w:val="24"/>
        <w:szCs w:val="24"/>
      </w:rPr>
    </w:lvl>
    <w:lvl w:ilvl="1">
      <w:start w:val="0"/>
      <w:numFmt w:val="bullet"/>
      <w:lvlText w:val="•"/>
      <w:lvlJc w:val="left"/>
      <w:pPr>
        <w:ind w:left="1098" w:hanging="345"/>
      </w:pPr>
      <w:rPr>
        <w:rFonts w:hint="default"/>
      </w:rPr>
    </w:lvl>
    <w:lvl w:ilvl="2">
      <w:start w:val="0"/>
      <w:numFmt w:val="bullet"/>
      <w:lvlText w:val="•"/>
      <w:lvlJc w:val="left"/>
      <w:pPr>
        <w:ind w:left="2016" w:hanging="345"/>
      </w:pPr>
      <w:rPr>
        <w:rFonts w:hint="default"/>
      </w:rPr>
    </w:lvl>
    <w:lvl w:ilvl="3">
      <w:start w:val="0"/>
      <w:numFmt w:val="bullet"/>
      <w:lvlText w:val="•"/>
      <w:lvlJc w:val="left"/>
      <w:pPr>
        <w:ind w:left="2935" w:hanging="345"/>
      </w:pPr>
      <w:rPr>
        <w:rFonts w:hint="default"/>
      </w:rPr>
    </w:lvl>
    <w:lvl w:ilvl="4">
      <w:start w:val="0"/>
      <w:numFmt w:val="bullet"/>
      <w:lvlText w:val="•"/>
      <w:lvlJc w:val="left"/>
      <w:pPr>
        <w:ind w:left="3853" w:hanging="345"/>
      </w:pPr>
      <w:rPr>
        <w:rFonts w:hint="default"/>
      </w:rPr>
    </w:lvl>
    <w:lvl w:ilvl="5">
      <w:start w:val="0"/>
      <w:numFmt w:val="bullet"/>
      <w:lvlText w:val="•"/>
      <w:lvlJc w:val="left"/>
      <w:pPr>
        <w:ind w:left="4772" w:hanging="345"/>
      </w:pPr>
      <w:rPr>
        <w:rFonts w:hint="default"/>
      </w:rPr>
    </w:lvl>
    <w:lvl w:ilvl="6">
      <w:start w:val="0"/>
      <w:numFmt w:val="bullet"/>
      <w:lvlText w:val="•"/>
      <w:lvlJc w:val="left"/>
      <w:pPr>
        <w:ind w:left="5690" w:hanging="345"/>
      </w:pPr>
      <w:rPr>
        <w:rFonts w:hint="default"/>
      </w:rPr>
    </w:lvl>
    <w:lvl w:ilvl="7">
      <w:start w:val="0"/>
      <w:numFmt w:val="bullet"/>
      <w:lvlText w:val="•"/>
      <w:lvlJc w:val="left"/>
      <w:pPr>
        <w:ind w:left="6609" w:hanging="345"/>
      </w:pPr>
      <w:rPr>
        <w:rFonts w:hint="default"/>
      </w:rPr>
    </w:lvl>
    <w:lvl w:ilvl="8">
      <w:start w:val="0"/>
      <w:numFmt w:val="bullet"/>
      <w:lvlText w:val="•"/>
      <w:lvlJc w:val="left"/>
      <w:pPr>
        <w:ind w:left="7527" w:hanging="345"/>
      </w:pPr>
      <w:rPr>
        <w:rFonts w:hint="default"/>
      </w:rPr>
    </w:lvl>
  </w:abstractNum>
  <w:abstractNum w:abstractNumId="26">
    <w:multiLevelType w:val="hybridMultilevel"/>
    <w:lvl w:ilvl="0">
      <w:start w:val="1"/>
      <w:numFmt w:val="decimal"/>
      <w:lvlText w:val="(%1)"/>
      <w:lvlJc w:val="left"/>
      <w:pPr>
        <w:ind w:left="537" w:hanging="360"/>
        <w:jc w:val="left"/>
      </w:pPr>
      <w:rPr>
        <w:rFonts w:hint="default" w:ascii="Times New Roman" w:hAnsi="Times New Roman" w:eastAsia="Times New Roman" w:cs="Times New Roman"/>
        <w:w w:val="100"/>
        <w:sz w:val="24"/>
        <w:szCs w:val="24"/>
      </w:rPr>
    </w:lvl>
    <w:lvl w:ilvl="1">
      <w:start w:val="0"/>
      <w:numFmt w:val="bullet"/>
      <w:lvlText w:val="•"/>
      <w:lvlJc w:val="left"/>
      <w:pPr>
        <w:ind w:left="1422" w:hanging="360"/>
      </w:pPr>
      <w:rPr>
        <w:rFonts w:hint="default"/>
      </w:rPr>
    </w:lvl>
    <w:lvl w:ilvl="2">
      <w:start w:val="0"/>
      <w:numFmt w:val="bullet"/>
      <w:lvlText w:val="•"/>
      <w:lvlJc w:val="left"/>
      <w:pPr>
        <w:ind w:left="2304" w:hanging="360"/>
      </w:pPr>
      <w:rPr>
        <w:rFonts w:hint="default"/>
      </w:rPr>
    </w:lvl>
    <w:lvl w:ilvl="3">
      <w:start w:val="0"/>
      <w:numFmt w:val="bullet"/>
      <w:lvlText w:val="•"/>
      <w:lvlJc w:val="left"/>
      <w:pPr>
        <w:ind w:left="3187" w:hanging="360"/>
      </w:pPr>
      <w:rPr>
        <w:rFonts w:hint="default"/>
      </w:rPr>
    </w:lvl>
    <w:lvl w:ilvl="4">
      <w:start w:val="0"/>
      <w:numFmt w:val="bullet"/>
      <w:lvlText w:val="•"/>
      <w:lvlJc w:val="left"/>
      <w:pPr>
        <w:ind w:left="4069" w:hanging="360"/>
      </w:pPr>
      <w:rPr>
        <w:rFonts w:hint="default"/>
      </w:rPr>
    </w:lvl>
    <w:lvl w:ilvl="5">
      <w:start w:val="0"/>
      <w:numFmt w:val="bullet"/>
      <w:lvlText w:val="•"/>
      <w:lvlJc w:val="left"/>
      <w:pPr>
        <w:ind w:left="4952" w:hanging="360"/>
      </w:pPr>
      <w:rPr>
        <w:rFonts w:hint="default"/>
      </w:rPr>
    </w:lvl>
    <w:lvl w:ilvl="6">
      <w:start w:val="0"/>
      <w:numFmt w:val="bullet"/>
      <w:lvlText w:val="•"/>
      <w:lvlJc w:val="left"/>
      <w:pPr>
        <w:ind w:left="5834" w:hanging="360"/>
      </w:pPr>
      <w:rPr>
        <w:rFonts w:hint="default"/>
      </w:rPr>
    </w:lvl>
    <w:lvl w:ilvl="7">
      <w:start w:val="0"/>
      <w:numFmt w:val="bullet"/>
      <w:lvlText w:val="•"/>
      <w:lvlJc w:val="left"/>
      <w:pPr>
        <w:ind w:left="6717" w:hanging="360"/>
      </w:pPr>
      <w:rPr>
        <w:rFonts w:hint="default"/>
      </w:rPr>
    </w:lvl>
    <w:lvl w:ilvl="8">
      <w:start w:val="0"/>
      <w:numFmt w:val="bullet"/>
      <w:lvlText w:val="•"/>
      <w:lvlJc w:val="left"/>
      <w:pPr>
        <w:ind w:left="7599" w:hanging="360"/>
      </w:pPr>
      <w:rPr>
        <w:rFonts w:hint="default"/>
      </w:rPr>
    </w:lvl>
  </w:abstractNum>
  <w:abstractNum w:abstractNumId="25">
    <w:multiLevelType w:val="hybridMultilevel"/>
    <w:lvl w:ilvl="0">
      <w:start w:val="1"/>
      <w:numFmt w:val="decimal"/>
      <w:lvlText w:val="%1."/>
      <w:lvlJc w:val="left"/>
      <w:pPr>
        <w:ind w:left="537" w:hanging="360"/>
        <w:jc w:val="left"/>
      </w:pPr>
      <w:rPr>
        <w:rFonts w:hint="default" w:ascii="Times New Roman" w:hAnsi="Times New Roman" w:eastAsia="Times New Roman" w:cs="Times New Roman"/>
        <w:spacing w:val="-1"/>
        <w:w w:val="100"/>
        <w:sz w:val="24"/>
        <w:szCs w:val="24"/>
      </w:rPr>
    </w:lvl>
    <w:lvl w:ilvl="1">
      <w:start w:val="0"/>
      <w:numFmt w:val="bullet"/>
      <w:lvlText w:val="•"/>
      <w:lvlJc w:val="left"/>
      <w:pPr>
        <w:ind w:left="1422" w:hanging="360"/>
      </w:pPr>
      <w:rPr>
        <w:rFonts w:hint="default"/>
      </w:rPr>
    </w:lvl>
    <w:lvl w:ilvl="2">
      <w:start w:val="0"/>
      <w:numFmt w:val="bullet"/>
      <w:lvlText w:val="•"/>
      <w:lvlJc w:val="left"/>
      <w:pPr>
        <w:ind w:left="2304" w:hanging="360"/>
      </w:pPr>
      <w:rPr>
        <w:rFonts w:hint="default"/>
      </w:rPr>
    </w:lvl>
    <w:lvl w:ilvl="3">
      <w:start w:val="0"/>
      <w:numFmt w:val="bullet"/>
      <w:lvlText w:val="•"/>
      <w:lvlJc w:val="left"/>
      <w:pPr>
        <w:ind w:left="3187" w:hanging="360"/>
      </w:pPr>
      <w:rPr>
        <w:rFonts w:hint="default"/>
      </w:rPr>
    </w:lvl>
    <w:lvl w:ilvl="4">
      <w:start w:val="0"/>
      <w:numFmt w:val="bullet"/>
      <w:lvlText w:val="•"/>
      <w:lvlJc w:val="left"/>
      <w:pPr>
        <w:ind w:left="4069" w:hanging="360"/>
      </w:pPr>
      <w:rPr>
        <w:rFonts w:hint="default"/>
      </w:rPr>
    </w:lvl>
    <w:lvl w:ilvl="5">
      <w:start w:val="0"/>
      <w:numFmt w:val="bullet"/>
      <w:lvlText w:val="•"/>
      <w:lvlJc w:val="left"/>
      <w:pPr>
        <w:ind w:left="4952" w:hanging="360"/>
      </w:pPr>
      <w:rPr>
        <w:rFonts w:hint="default"/>
      </w:rPr>
    </w:lvl>
    <w:lvl w:ilvl="6">
      <w:start w:val="0"/>
      <w:numFmt w:val="bullet"/>
      <w:lvlText w:val="•"/>
      <w:lvlJc w:val="left"/>
      <w:pPr>
        <w:ind w:left="5834" w:hanging="360"/>
      </w:pPr>
      <w:rPr>
        <w:rFonts w:hint="default"/>
      </w:rPr>
    </w:lvl>
    <w:lvl w:ilvl="7">
      <w:start w:val="0"/>
      <w:numFmt w:val="bullet"/>
      <w:lvlText w:val="•"/>
      <w:lvlJc w:val="left"/>
      <w:pPr>
        <w:ind w:left="6717" w:hanging="360"/>
      </w:pPr>
      <w:rPr>
        <w:rFonts w:hint="default"/>
      </w:rPr>
    </w:lvl>
    <w:lvl w:ilvl="8">
      <w:start w:val="0"/>
      <w:numFmt w:val="bullet"/>
      <w:lvlText w:val="•"/>
      <w:lvlJc w:val="left"/>
      <w:pPr>
        <w:ind w:left="7599" w:hanging="360"/>
      </w:pPr>
      <w:rPr>
        <w:rFonts w:hint="default"/>
      </w:rPr>
    </w:lvl>
  </w:abstractNum>
  <w:abstractNum w:abstractNumId="24">
    <w:multiLevelType w:val="hybridMultilevel"/>
    <w:lvl w:ilvl="0">
      <w:start w:val="11"/>
      <w:numFmt w:val="decimal"/>
      <w:lvlText w:val="%1."/>
      <w:lvlJc w:val="left"/>
      <w:pPr>
        <w:ind w:left="537" w:hanging="360"/>
        <w:jc w:val="left"/>
      </w:pPr>
      <w:rPr>
        <w:rFonts w:hint="default" w:ascii="Times New Roman" w:hAnsi="Times New Roman" w:eastAsia="Times New Roman" w:cs="Times New Roman"/>
        <w:b/>
        <w:bCs/>
        <w:w w:val="100"/>
        <w:sz w:val="24"/>
        <w:szCs w:val="24"/>
      </w:rPr>
    </w:lvl>
    <w:lvl w:ilvl="1">
      <w:start w:val="1"/>
      <w:numFmt w:val="decimal"/>
      <w:lvlText w:val="%1.%2."/>
      <w:lvlJc w:val="left"/>
      <w:pPr>
        <w:ind w:left="969" w:hanging="792"/>
        <w:jc w:val="left"/>
      </w:pPr>
      <w:rPr>
        <w:rFonts w:hint="default" w:ascii="Times New Roman" w:hAnsi="Times New Roman" w:eastAsia="Times New Roman" w:cs="Times New Roman"/>
        <w:b/>
        <w:bCs/>
        <w:w w:val="100"/>
        <w:sz w:val="24"/>
        <w:szCs w:val="24"/>
      </w:rPr>
    </w:lvl>
    <w:lvl w:ilvl="2">
      <w:start w:val="0"/>
      <w:numFmt w:val="bullet"/>
      <w:lvlText w:val="•"/>
      <w:lvlJc w:val="left"/>
      <w:pPr>
        <w:ind w:left="1893" w:hanging="792"/>
      </w:pPr>
      <w:rPr>
        <w:rFonts w:hint="default"/>
      </w:rPr>
    </w:lvl>
    <w:lvl w:ilvl="3">
      <w:start w:val="0"/>
      <w:numFmt w:val="bullet"/>
      <w:lvlText w:val="•"/>
      <w:lvlJc w:val="left"/>
      <w:pPr>
        <w:ind w:left="2827" w:hanging="792"/>
      </w:pPr>
      <w:rPr>
        <w:rFonts w:hint="default"/>
      </w:rPr>
    </w:lvl>
    <w:lvl w:ilvl="4">
      <w:start w:val="0"/>
      <w:numFmt w:val="bullet"/>
      <w:lvlText w:val="•"/>
      <w:lvlJc w:val="left"/>
      <w:pPr>
        <w:ind w:left="3761" w:hanging="792"/>
      </w:pPr>
      <w:rPr>
        <w:rFonts w:hint="default"/>
      </w:rPr>
    </w:lvl>
    <w:lvl w:ilvl="5">
      <w:start w:val="0"/>
      <w:numFmt w:val="bullet"/>
      <w:lvlText w:val="•"/>
      <w:lvlJc w:val="left"/>
      <w:pPr>
        <w:ind w:left="4695" w:hanging="792"/>
      </w:pPr>
      <w:rPr>
        <w:rFonts w:hint="default"/>
      </w:rPr>
    </w:lvl>
    <w:lvl w:ilvl="6">
      <w:start w:val="0"/>
      <w:numFmt w:val="bullet"/>
      <w:lvlText w:val="•"/>
      <w:lvlJc w:val="left"/>
      <w:pPr>
        <w:ind w:left="5629" w:hanging="792"/>
      </w:pPr>
      <w:rPr>
        <w:rFonts w:hint="default"/>
      </w:rPr>
    </w:lvl>
    <w:lvl w:ilvl="7">
      <w:start w:val="0"/>
      <w:numFmt w:val="bullet"/>
      <w:lvlText w:val="•"/>
      <w:lvlJc w:val="left"/>
      <w:pPr>
        <w:ind w:left="6562" w:hanging="792"/>
      </w:pPr>
      <w:rPr>
        <w:rFonts w:hint="default"/>
      </w:rPr>
    </w:lvl>
    <w:lvl w:ilvl="8">
      <w:start w:val="0"/>
      <w:numFmt w:val="bullet"/>
      <w:lvlText w:val="•"/>
      <w:lvlJc w:val="left"/>
      <w:pPr>
        <w:ind w:left="7496" w:hanging="792"/>
      </w:pPr>
      <w:rPr>
        <w:rFonts w:hint="default"/>
      </w:rPr>
    </w:lvl>
  </w:abstractNum>
  <w:abstractNum w:abstractNumId="23">
    <w:multiLevelType w:val="hybridMultilevel"/>
    <w:lvl w:ilvl="0">
      <w:start w:val="10"/>
      <w:numFmt w:val="decimal"/>
      <w:lvlText w:val="%1"/>
      <w:lvlJc w:val="left"/>
      <w:pPr>
        <w:ind w:left="1084" w:hanging="908"/>
        <w:jc w:val="left"/>
      </w:pPr>
      <w:rPr>
        <w:rFonts w:hint="default"/>
      </w:rPr>
    </w:lvl>
    <w:lvl w:ilvl="1">
      <w:start w:val="4"/>
      <w:numFmt w:val="decimal"/>
      <w:lvlText w:val="%1.%2."/>
      <w:lvlJc w:val="left"/>
      <w:pPr>
        <w:ind w:left="1084" w:hanging="908"/>
        <w:jc w:val="left"/>
      </w:pPr>
      <w:rPr>
        <w:rFonts w:hint="default" w:ascii="Times New Roman" w:hAnsi="Times New Roman" w:eastAsia="Times New Roman" w:cs="Times New Roman"/>
        <w:b/>
        <w:bCs/>
        <w:w w:val="100"/>
        <w:sz w:val="24"/>
        <w:szCs w:val="24"/>
      </w:rPr>
    </w:lvl>
    <w:lvl w:ilvl="2">
      <w:start w:val="1"/>
      <w:numFmt w:val="decimal"/>
      <w:lvlText w:val="%1.%2.%3."/>
      <w:lvlJc w:val="left"/>
      <w:pPr>
        <w:ind w:left="1084" w:hanging="908"/>
        <w:jc w:val="left"/>
      </w:pPr>
      <w:rPr>
        <w:rFonts w:hint="default"/>
        <w:spacing w:val="-2"/>
        <w:w w:val="100"/>
      </w:rPr>
    </w:lvl>
    <w:lvl w:ilvl="3">
      <w:start w:val="0"/>
      <w:numFmt w:val="bullet"/>
      <w:lvlText w:val="•"/>
      <w:lvlJc w:val="left"/>
      <w:pPr>
        <w:ind w:left="3565" w:hanging="908"/>
      </w:pPr>
      <w:rPr>
        <w:rFonts w:hint="default"/>
      </w:rPr>
    </w:lvl>
    <w:lvl w:ilvl="4">
      <w:start w:val="0"/>
      <w:numFmt w:val="bullet"/>
      <w:lvlText w:val="•"/>
      <w:lvlJc w:val="left"/>
      <w:pPr>
        <w:ind w:left="4393" w:hanging="908"/>
      </w:pPr>
      <w:rPr>
        <w:rFonts w:hint="default"/>
      </w:rPr>
    </w:lvl>
    <w:lvl w:ilvl="5">
      <w:start w:val="0"/>
      <w:numFmt w:val="bullet"/>
      <w:lvlText w:val="•"/>
      <w:lvlJc w:val="left"/>
      <w:pPr>
        <w:ind w:left="5222" w:hanging="908"/>
      </w:pPr>
      <w:rPr>
        <w:rFonts w:hint="default"/>
      </w:rPr>
    </w:lvl>
    <w:lvl w:ilvl="6">
      <w:start w:val="0"/>
      <w:numFmt w:val="bullet"/>
      <w:lvlText w:val="•"/>
      <w:lvlJc w:val="left"/>
      <w:pPr>
        <w:ind w:left="6050" w:hanging="908"/>
      </w:pPr>
      <w:rPr>
        <w:rFonts w:hint="default"/>
      </w:rPr>
    </w:lvl>
    <w:lvl w:ilvl="7">
      <w:start w:val="0"/>
      <w:numFmt w:val="bullet"/>
      <w:lvlText w:val="•"/>
      <w:lvlJc w:val="left"/>
      <w:pPr>
        <w:ind w:left="6879" w:hanging="908"/>
      </w:pPr>
      <w:rPr>
        <w:rFonts w:hint="default"/>
      </w:rPr>
    </w:lvl>
    <w:lvl w:ilvl="8">
      <w:start w:val="0"/>
      <w:numFmt w:val="bullet"/>
      <w:lvlText w:val="•"/>
      <w:lvlJc w:val="left"/>
      <w:pPr>
        <w:ind w:left="7707" w:hanging="908"/>
      </w:pPr>
      <w:rPr>
        <w:rFonts w:hint="default"/>
      </w:rPr>
    </w:lvl>
  </w:abstractNum>
  <w:abstractNum w:abstractNumId="22">
    <w:multiLevelType w:val="hybridMultilevel"/>
    <w:lvl w:ilvl="0">
      <w:start w:val="1"/>
      <w:numFmt w:val="decimal"/>
      <w:lvlText w:val="(%1)"/>
      <w:lvlJc w:val="left"/>
      <w:pPr>
        <w:ind w:left="515" w:hanging="339"/>
        <w:jc w:val="left"/>
      </w:pPr>
      <w:rPr>
        <w:rFonts w:hint="default" w:ascii="Times New Roman" w:hAnsi="Times New Roman" w:eastAsia="Times New Roman" w:cs="Times New Roman"/>
        <w:i/>
        <w:spacing w:val="-1"/>
        <w:w w:val="100"/>
        <w:sz w:val="24"/>
        <w:szCs w:val="24"/>
      </w:rPr>
    </w:lvl>
    <w:lvl w:ilvl="1">
      <w:start w:val="0"/>
      <w:numFmt w:val="bullet"/>
      <w:lvlText w:val="•"/>
      <w:lvlJc w:val="left"/>
      <w:pPr>
        <w:ind w:left="1404" w:hanging="339"/>
      </w:pPr>
      <w:rPr>
        <w:rFonts w:hint="default"/>
      </w:rPr>
    </w:lvl>
    <w:lvl w:ilvl="2">
      <w:start w:val="0"/>
      <w:numFmt w:val="bullet"/>
      <w:lvlText w:val="•"/>
      <w:lvlJc w:val="left"/>
      <w:pPr>
        <w:ind w:left="2288" w:hanging="339"/>
      </w:pPr>
      <w:rPr>
        <w:rFonts w:hint="default"/>
      </w:rPr>
    </w:lvl>
    <w:lvl w:ilvl="3">
      <w:start w:val="0"/>
      <w:numFmt w:val="bullet"/>
      <w:lvlText w:val="•"/>
      <w:lvlJc w:val="left"/>
      <w:pPr>
        <w:ind w:left="3173" w:hanging="339"/>
      </w:pPr>
      <w:rPr>
        <w:rFonts w:hint="default"/>
      </w:rPr>
    </w:lvl>
    <w:lvl w:ilvl="4">
      <w:start w:val="0"/>
      <w:numFmt w:val="bullet"/>
      <w:lvlText w:val="•"/>
      <w:lvlJc w:val="left"/>
      <w:pPr>
        <w:ind w:left="4057" w:hanging="339"/>
      </w:pPr>
      <w:rPr>
        <w:rFonts w:hint="default"/>
      </w:rPr>
    </w:lvl>
    <w:lvl w:ilvl="5">
      <w:start w:val="0"/>
      <w:numFmt w:val="bullet"/>
      <w:lvlText w:val="•"/>
      <w:lvlJc w:val="left"/>
      <w:pPr>
        <w:ind w:left="4942" w:hanging="339"/>
      </w:pPr>
      <w:rPr>
        <w:rFonts w:hint="default"/>
      </w:rPr>
    </w:lvl>
    <w:lvl w:ilvl="6">
      <w:start w:val="0"/>
      <w:numFmt w:val="bullet"/>
      <w:lvlText w:val="•"/>
      <w:lvlJc w:val="left"/>
      <w:pPr>
        <w:ind w:left="5826" w:hanging="339"/>
      </w:pPr>
      <w:rPr>
        <w:rFonts w:hint="default"/>
      </w:rPr>
    </w:lvl>
    <w:lvl w:ilvl="7">
      <w:start w:val="0"/>
      <w:numFmt w:val="bullet"/>
      <w:lvlText w:val="•"/>
      <w:lvlJc w:val="left"/>
      <w:pPr>
        <w:ind w:left="6711" w:hanging="339"/>
      </w:pPr>
      <w:rPr>
        <w:rFonts w:hint="default"/>
      </w:rPr>
    </w:lvl>
    <w:lvl w:ilvl="8">
      <w:start w:val="0"/>
      <w:numFmt w:val="bullet"/>
      <w:lvlText w:val="•"/>
      <w:lvlJc w:val="left"/>
      <w:pPr>
        <w:ind w:left="7595" w:hanging="339"/>
      </w:pPr>
      <w:rPr>
        <w:rFonts w:hint="default"/>
      </w:rPr>
    </w:lvl>
  </w:abstractNum>
  <w:abstractNum w:abstractNumId="21">
    <w:multiLevelType w:val="hybridMultilevel"/>
    <w:lvl w:ilvl="0">
      <w:start w:val="10"/>
      <w:numFmt w:val="decimal"/>
      <w:lvlText w:val="%1"/>
      <w:lvlJc w:val="left"/>
      <w:pPr>
        <w:ind w:left="1084" w:hanging="908"/>
        <w:jc w:val="left"/>
      </w:pPr>
      <w:rPr>
        <w:rFonts w:hint="default"/>
      </w:rPr>
    </w:lvl>
    <w:lvl w:ilvl="1">
      <w:start w:val="3"/>
      <w:numFmt w:val="decimal"/>
      <w:lvlText w:val="%1.%2"/>
      <w:lvlJc w:val="left"/>
      <w:pPr>
        <w:ind w:left="1084" w:hanging="908"/>
        <w:jc w:val="left"/>
      </w:pPr>
      <w:rPr>
        <w:rFonts w:hint="default"/>
      </w:rPr>
    </w:lvl>
    <w:lvl w:ilvl="2">
      <w:start w:val="2"/>
      <w:numFmt w:val="decimal"/>
      <w:lvlText w:val="%1.%2.%3."/>
      <w:lvlJc w:val="left"/>
      <w:pPr>
        <w:ind w:left="1084" w:hanging="908"/>
        <w:jc w:val="left"/>
      </w:pPr>
      <w:rPr>
        <w:rFonts w:hint="default"/>
        <w:spacing w:val="-1"/>
        <w:w w:val="100"/>
      </w:rPr>
    </w:lvl>
    <w:lvl w:ilvl="3">
      <w:start w:val="0"/>
      <w:numFmt w:val="bullet"/>
      <w:lvlText w:val="•"/>
      <w:lvlJc w:val="left"/>
      <w:pPr>
        <w:ind w:left="3565" w:hanging="908"/>
      </w:pPr>
      <w:rPr>
        <w:rFonts w:hint="default"/>
      </w:rPr>
    </w:lvl>
    <w:lvl w:ilvl="4">
      <w:start w:val="0"/>
      <w:numFmt w:val="bullet"/>
      <w:lvlText w:val="•"/>
      <w:lvlJc w:val="left"/>
      <w:pPr>
        <w:ind w:left="4393" w:hanging="908"/>
      </w:pPr>
      <w:rPr>
        <w:rFonts w:hint="default"/>
      </w:rPr>
    </w:lvl>
    <w:lvl w:ilvl="5">
      <w:start w:val="0"/>
      <w:numFmt w:val="bullet"/>
      <w:lvlText w:val="•"/>
      <w:lvlJc w:val="left"/>
      <w:pPr>
        <w:ind w:left="5222" w:hanging="908"/>
      </w:pPr>
      <w:rPr>
        <w:rFonts w:hint="default"/>
      </w:rPr>
    </w:lvl>
    <w:lvl w:ilvl="6">
      <w:start w:val="0"/>
      <w:numFmt w:val="bullet"/>
      <w:lvlText w:val="•"/>
      <w:lvlJc w:val="left"/>
      <w:pPr>
        <w:ind w:left="6050" w:hanging="908"/>
      </w:pPr>
      <w:rPr>
        <w:rFonts w:hint="default"/>
      </w:rPr>
    </w:lvl>
    <w:lvl w:ilvl="7">
      <w:start w:val="0"/>
      <w:numFmt w:val="bullet"/>
      <w:lvlText w:val="•"/>
      <w:lvlJc w:val="left"/>
      <w:pPr>
        <w:ind w:left="6879" w:hanging="908"/>
      </w:pPr>
      <w:rPr>
        <w:rFonts w:hint="default"/>
      </w:rPr>
    </w:lvl>
    <w:lvl w:ilvl="8">
      <w:start w:val="0"/>
      <w:numFmt w:val="bullet"/>
      <w:lvlText w:val="•"/>
      <w:lvlJc w:val="left"/>
      <w:pPr>
        <w:ind w:left="7707" w:hanging="908"/>
      </w:pPr>
      <w:rPr>
        <w:rFonts w:hint="default"/>
      </w:rPr>
    </w:lvl>
  </w:abstractNum>
  <w:abstractNum w:abstractNumId="20">
    <w:multiLevelType w:val="hybridMultilevel"/>
    <w:lvl w:ilvl="0">
      <w:start w:val="1"/>
      <w:numFmt w:val="decimal"/>
      <w:lvlText w:val="(%1)"/>
      <w:lvlJc w:val="left"/>
      <w:pPr>
        <w:ind w:left="886" w:hanging="710"/>
        <w:jc w:val="left"/>
      </w:pPr>
      <w:rPr>
        <w:rFonts w:hint="default" w:ascii="Times New Roman" w:hAnsi="Times New Roman" w:eastAsia="Times New Roman" w:cs="Times New Roman"/>
        <w:w w:val="100"/>
        <w:sz w:val="24"/>
        <w:szCs w:val="24"/>
      </w:rPr>
    </w:lvl>
    <w:lvl w:ilvl="1">
      <w:start w:val="0"/>
      <w:numFmt w:val="bullet"/>
      <w:lvlText w:val="•"/>
      <w:lvlJc w:val="left"/>
      <w:pPr>
        <w:ind w:left="1728" w:hanging="710"/>
      </w:pPr>
      <w:rPr>
        <w:rFonts w:hint="default"/>
      </w:rPr>
    </w:lvl>
    <w:lvl w:ilvl="2">
      <w:start w:val="0"/>
      <w:numFmt w:val="bullet"/>
      <w:lvlText w:val="•"/>
      <w:lvlJc w:val="left"/>
      <w:pPr>
        <w:ind w:left="2576" w:hanging="710"/>
      </w:pPr>
      <w:rPr>
        <w:rFonts w:hint="default"/>
      </w:rPr>
    </w:lvl>
    <w:lvl w:ilvl="3">
      <w:start w:val="0"/>
      <w:numFmt w:val="bullet"/>
      <w:lvlText w:val="•"/>
      <w:lvlJc w:val="left"/>
      <w:pPr>
        <w:ind w:left="3425" w:hanging="710"/>
      </w:pPr>
      <w:rPr>
        <w:rFonts w:hint="default"/>
      </w:rPr>
    </w:lvl>
    <w:lvl w:ilvl="4">
      <w:start w:val="0"/>
      <w:numFmt w:val="bullet"/>
      <w:lvlText w:val="•"/>
      <w:lvlJc w:val="left"/>
      <w:pPr>
        <w:ind w:left="4273" w:hanging="710"/>
      </w:pPr>
      <w:rPr>
        <w:rFonts w:hint="default"/>
      </w:rPr>
    </w:lvl>
    <w:lvl w:ilvl="5">
      <w:start w:val="0"/>
      <w:numFmt w:val="bullet"/>
      <w:lvlText w:val="•"/>
      <w:lvlJc w:val="left"/>
      <w:pPr>
        <w:ind w:left="5122" w:hanging="710"/>
      </w:pPr>
      <w:rPr>
        <w:rFonts w:hint="default"/>
      </w:rPr>
    </w:lvl>
    <w:lvl w:ilvl="6">
      <w:start w:val="0"/>
      <w:numFmt w:val="bullet"/>
      <w:lvlText w:val="•"/>
      <w:lvlJc w:val="left"/>
      <w:pPr>
        <w:ind w:left="5970" w:hanging="710"/>
      </w:pPr>
      <w:rPr>
        <w:rFonts w:hint="default"/>
      </w:rPr>
    </w:lvl>
    <w:lvl w:ilvl="7">
      <w:start w:val="0"/>
      <w:numFmt w:val="bullet"/>
      <w:lvlText w:val="•"/>
      <w:lvlJc w:val="left"/>
      <w:pPr>
        <w:ind w:left="6819" w:hanging="710"/>
      </w:pPr>
      <w:rPr>
        <w:rFonts w:hint="default"/>
      </w:rPr>
    </w:lvl>
    <w:lvl w:ilvl="8">
      <w:start w:val="0"/>
      <w:numFmt w:val="bullet"/>
      <w:lvlText w:val="•"/>
      <w:lvlJc w:val="left"/>
      <w:pPr>
        <w:ind w:left="7667" w:hanging="710"/>
      </w:pPr>
      <w:rPr>
        <w:rFonts w:hint="default"/>
      </w:rPr>
    </w:lvl>
  </w:abstractNum>
  <w:abstractNum w:abstractNumId="19">
    <w:multiLevelType w:val="hybridMultilevel"/>
    <w:lvl w:ilvl="0">
      <w:start w:val="10"/>
      <w:numFmt w:val="decimal"/>
      <w:lvlText w:val="%1"/>
      <w:lvlJc w:val="left"/>
      <w:pPr>
        <w:ind w:left="1084" w:hanging="908"/>
        <w:jc w:val="left"/>
      </w:pPr>
      <w:rPr>
        <w:rFonts w:hint="default"/>
      </w:rPr>
    </w:lvl>
    <w:lvl w:ilvl="1">
      <w:start w:val="3"/>
      <w:numFmt w:val="decimal"/>
      <w:lvlText w:val="%1.%2."/>
      <w:lvlJc w:val="left"/>
      <w:pPr>
        <w:ind w:left="1084" w:hanging="908"/>
        <w:jc w:val="left"/>
      </w:pPr>
      <w:rPr>
        <w:rFonts w:hint="default" w:ascii="Times New Roman" w:hAnsi="Times New Roman" w:eastAsia="Times New Roman" w:cs="Times New Roman"/>
        <w:b/>
        <w:bCs/>
        <w:w w:val="100"/>
        <w:sz w:val="24"/>
        <w:szCs w:val="24"/>
      </w:rPr>
    </w:lvl>
    <w:lvl w:ilvl="2">
      <w:start w:val="1"/>
      <w:numFmt w:val="decimal"/>
      <w:lvlText w:val="%1.%2.%3."/>
      <w:lvlJc w:val="left"/>
      <w:pPr>
        <w:ind w:left="1084" w:hanging="908"/>
        <w:jc w:val="left"/>
      </w:pPr>
      <w:rPr>
        <w:rFonts w:hint="default" w:ascii="Times New Roman" w:hAnsi="Times New Roman" w:eastAsia="Times New Roman" w:cs="Times New Roman"/>
        <w:spacing w:val="-1"/>
        <w:w w:val="100"/>
        <w:sz w:val="24"/>
        <w:szCs w:val="24"/>
      </w:rPr>
    </w:lvl>
    <w:lvl w:ilvl="3">
      <w:start w:val="0"/>
      <w:numFmt w:val="bullet"/>
      <w:lvlText w:val="•"/>
      <w:lvlJc w:val="left"/>
      <w:pPr>
        <w:ind w:left="3565" w:hanging="908"/>
      </w:pPr>
      <w:rPr>
        <w:rFonts w:hint="default"/>
      </w:rPr>
    </w:lvl>
    <w:lvl w:ilvl="4">
      <w:start w:val="0"/>
      <w:numFmt w:val="bullet"/>
      <w:lvlText w:val="•"/>
      <w:lvlJc w:val="left"/>
      <w:pPr>
        <w:ind w:left="4393" w:hanging="908"/>
      </w:pPr>
      <w:rPr>
        <w:rFonts w:hint="default"/>
      </w:rPr>
    </w:lvl>
    <w:lvl w:ilvl="5">
      <w:start w:val="0"/>
      <w:numFmt w:val="bullet"/>
      <w:lvlText w:val="•"/>
      <w:lvlJc w:val="left"/>
      <w:pPr>
        <w:ind w:left="5222" w:hanging="908"/>
      </w:pPr>
      <w:rPr>
        <w:rFonts w:hint="default"/>
      </w:rPr>
    </w:lvl>
    <w:lvl w:ilvl="6">
      <w:start w:val="0"/>
      <w:numFmt w:val="bullet"/>
      <w:lvlText w:val="•"/>
      <w:lvlJc w:val="left"/>
      <w:pPr>
        <w:ind w:left="6050" w:hanging="908"/>
      </w:pPr>
      <w:rPr>
        <w:rFonts w:hint="default"/>
      </w:rPr>
    </w:lvl>
    <w:lvl w:ilvl="7">
      <w:start w:val="0"/>
      <w:numFmt w:val="bullet"/>
      <w:lvlText w:val="•"/>
      <w:lvlJc w:val="left"/>
      <w:pPr>
        <w:ind w:left="6879" w:hanging="908"/>
      </w:pPr>
      <w:rPr>
        <w:rFonts w:hint="default"/>
      </w:rPr>
    </w:lvl>
    <w:lvl w:ilvl="8">
      <w:start w:val="0"/>
      <w:numFmt w:val="bullet"/>
      <w:lvlText w:val="•"/>
      <w:lvlJc w:val="left"/>
      <w:pPr>
        <w:ind w:left="7707" w:hanging="908"/>
      </w:pPr>
      <w:rPr>
        <w:rFonts w:hint="default"/>
      </w:rPr>
    </w:lvl>
  </w:abstractNum>
  <w:abstractNum w:abstractNumId="18">
    <w:multiLevelType w:val="hybridMultilevel"/>
    <w:lvl w:ilvl="0">
      <w:start w:val="0"/>
      <w:numFmt w:val="bullet"/>
      <w:lvlText w:val="-"/>
      <w:lvlJc w:val="left"/>
      <w:pPr>
        <w:ind w:left="396" w:hanging="709"/>
      </w:pPr>
      <w:rPr>
        <w:rFonts w:hint="default" w:ascii="Times New Roman" w:hAnsi="Times New Roman" w:eastAsia="Times New Roman" w:cs="Times New Roman"/>
        <w:w w:val="100"/>
        <w:sz w:val="24"/>
        <w:szCs w:val="24"/>
      </w:rPr>
    </w:lvl>
    <w:lvl w:ilvl="1">
      <w:start w:val="0"/>
      <w:numFmt w:val="bullet"/>
      <w:lvlText w:val="•"/>
      <w:lvlJc w:val="left"/>
      <w:pPr>
        <w:ind w:left="1296" w:hanging="709"/>
      </w:pPr>
      <w:rPr>
        <w:rFonts w:hint="default"/>
      </w:rPr>
    </w:lvl>
    <w:lvl w:ilvl="2">
      <w:start w:val="0"/>
      <w:numFmt w:val="bullet"/>
      <w:lvlText w:val="•"/>
      <w:lvlJc w:val="left"/>
      <w:pPr>
        <w:ind w:left="2192" w:hanging="709"/>
      </w:pPr>
      <w:rPr>
        <w:rFonts w:hint="default"/>
      </w:rPr>
    </w:lvl>
    <w:lvl w:ilvl="3">
      <w:start w:val="0"/>
      <w:numFmt w:val="bullet"/>
      <w:lvlText w:val="•"/>
      <w:lvlJc w:val="left"/>
      <w:pPr>
        <w:ind w:left="3089" w:hanging="709"/>
      </w:pPr>
      <w:rPr>
        <w:rFonts w:hint="default"/>
      </w:rPr>
    </w:lvl>
    <w:lvl w:ilvl="4">
      <w:start w:val="0"/>
      <w:numFmt w:val="bullet"/>
      <w:lvlText w:val="•"/>
      <w:lvlJc w:val="left"/>
      <w:pPr>
        <w:ind w:left="3985" w:hanging="709"/>
      </w:pPr>
      <w:rPr>
        <w:rFonts w:hint="default"/>
      </w:rPr>
    </w:lvl>
    <w:lvl w:ilvl="5">
      <w:start w:val="0"/>
      <w:numFmt w:val="bullet"/>
      <w:lvlText w:val="•"/>
      <w:lvlJc w:val="left"/>
      <w:pPr>
        <w:ind w:left="4882" w:hanging="709"/>
      </w:pPr>
      <w:rPr>
        <w:rFonts w:hint="default"/>
      </w:rPr>
    </w:lvl>
    <w:lvl w:ilvl="6">
      <w:start w:val="0"/>
      <w:numFmt w:val="bullet"/>
      <w:lvlText w:val="•"/>
      <w:lvlJc w:val="left"/>
      <w:pPr>
        <w:ind w:left="5778" w:hanging="709"/>
      </w:pPr>
      <w:rPr>
        <w:rFonts w:hint="default"/>
      </w:rPr>
    </w:lvl>
    <w:lvl w:ilvl="7">
      <w:start w:val="0"/>
      <w:numFmt w:val="bullet"/>
      <w:lvlText w:val="•"/>
      <w:lvlJc w:val="left"/>
      <w:pPr>
        <w:ind w:left="6675" w:hanging="709"/>
      </w:pPr>
      <w:rPr>
        <w:rFonts w:hint="default"/>
      </w:rPr>
    </w:lvl>
    <w:lvl w:ilvl="8">
      <w:start w:val="0"/>
      <w:numFmt w:val="bullet"/>
      <w:lvlText w:val="•"/>
      <w:lvlJc w:val="left"/>
      <w:pPr>
        <w:ind w:left="7571" w:hanging="709"/>
      </w:pPr>
      <w:rPr>
        <w:rFonts w:hint="default"/>
      </w:rPr>
    </w:lvl>
  </w:abstractNum>
  <w:abstractNum w:abstractNumId="17">
    <w:multiLevelType w:val="hybridMultilevel"/>
    <w:lvl w:ilvl="0">
      <w:start w:val="10"/>
      <w:numFmt w:val="decimal"/>
      <w:lvlText w:val="%1"/>
      <w:lvlJc w:val="left"/>
      <w:pPr>
        <w:ind w:left="1084" w:hanging="908"/>
        <w:jc w:val="left"/>
      </w:pPr>
      <w:rPr>
        <w:rFonts w:hint="default"/>
      </w:rPr>
    </w:lvl>
    <w:lvl w:ilvl="1">
      <w:start w:val="2"/>
      <w:numFmt w:val="decimal"/>
      <w:lvlText w:val="%1.%2"/>
      <w:lvlJc w:val="left"/>
      <w:pPr>
        <w:ind w:left="1084" w:hanging="908"/>
        <w:jc w:val="left"/>
      </w:pPr>
      <w:rPr>
        <w:rFonts w:hint="default"/>
      </w:rPr>
    </w:lvl>
    <w:lvl w:ilvl="2">
      <w:start w:val="1"/>
      <w:numFmt w:val="decimal"/>
      <w:lvlText w:val="%1.%2.%3."/>
      <w:lvlJc w:val="left"/>
      <w:pPr>
        <w:ind w:left="1084" w:hanging="908"/>
        <w:jc w:val="left"/>
      </w:pPr>
      <w:rPr>
        <w:rFonts w:hint="default"/>
        <w:spacing w:val="-1"/>
        <w:w w:val="100"/>
      </w:rPr>
    </w:lvl>
    <w:lvl w:ilvl="3">
      <w:start w:val="1"/>
      <w:numFmt w:val="decimal"/>
      <w:lvlText w:val="(%4)"/>
      <w:lvlJc w:val="left"/>
      <w:pPr>
        <w:ind w:left="801" w:hanging="341"/>
        <w:jc w:val="left"/>
      </w:pPr>
      <w:rPr>
        <w:rFonts w:hint="default" w:ascii="Times New Roman" w:hAnsi="Times New Roman" w:eastAsia="Times New Roman" w:cs="Times New Roman"/>
        <w:spacing w:val="-1"/>
        <w:w w:val="100"/>
        <w:sz w:val="24"/>
        <w:szCs w:val="24"/>
      </w:rPr>
    </w:lvl>
    <w:lvl w:ilvl="4">
      <w:start w:val="0"/>
      <w:numFmt w:val="bullet"/>
      <w:lvlText w:val="•"/>
      <w:lvlJc w:val="left"/>
      <w:pPr>
        <w:ind w:left="3841" w:hanging="341"/>
      </w:pPr>
      <w:rPr>
        <w:rFonts w:hint="default"/>
      </w:rPr>
    </w:lvl>
    <w:lvl w:ilvl="5">
      <w:start w:val="0"/>
      <w:numFmt w:val="bullet"/>
      <w:lvlText w:val="•"/>
      <w:lvlJc w:val="left"/>
      <w:pPr>
        <w:ind w:left="4761" w:hanging="341"/>
      </w:pPr>
      <w:rPr>
        <w:rFonts w:hint="default"/>
      </w:rPr>
    </w:lvl>
    <w:lvl w:ilvl="6">
      <w:start w:val="0"/>
      <w:numFmt w:val="bullet"/>
      <w:lvlText w:val="•"/>
      <w:lvlJc w:val="left"/>
      <w:pPr>
        <w:ind w:left="5682" w:hanging="341"/>
      </w:pPr>
      <w:rPr>
        <w:rFonts w:hint="default"/>
      </w:rPr>
    </w:lvl>
    <w:lvl w:ilvl="7">
      <w:start w:val="0"/>
      <w:numFmt w:val="bullet"/>
      <w:lvlText w:val="•"/>
      <w:lvlJc w:val="left"/>
      <w:pPr>
        <w:ind w:left="6602" w:hanging="341"/>
      </w:pPr>
      <w:rPr>
        <w:rFonts w:hint="default"/>
      </w:rPr>
    </w:lvl>
    <w:lvl w:ilvl="8">
      <w:start w:val="0"/>
      <w:numFmt w:val="bullet"/>
      <w:lvlText w:val="•"/>
      <w:lvlJc w:val="left"/>
      <w:pPr>
        <w:ind w:left="7523" w:hanging="341"/>
      </w:pPr>
      <w:rPr>
        <w:rFonts w:hint="default"/>
      </w:rPr>
    </w:lvl>
  </w:abstractNum>
  <w:abstractNum w:abstractNumId="16">
    <w:multiLevelType w:val="hybridMultilevel"/>
    <w:lvl w:ilvl="0">
      <w:start w:val="1"/>
      <w:numFmt w:val="decimal"/>
      <w:lvlText w:val="%1)"/>
      <w:lvlJc w:val="left"/>
      <w:pPr>
        <w:ind w:left="1146" w:hanging="261"/>
        <w:jc w:val="left"/>
      </w:pPr>
      <w:rPr>
        <w:rFonts w:hint="default" w:ascii="Times New Roman" w:hAnsi="Times New Roman" w:eastAsia="Times New Roman" w:cs="Times New Roman"/>
        <w:spacing w:val="-1"/>
        <w:w w:val="100"/>
        <w:sz w:val="24"/>
        <w:szCs w:val="24"/>
      </w:rPr>
    </w:lvl>
    <w:lvl w:ilvl="1">
      <w:start w:val="0"/>
      <w:numFmt w:val="bullet"/>
      <w:lvlText w:val="•"/>
      <w:lvlJc w:val="left"/>
      <w:pPr>
        <w:ind w:left="1962" w:hanging="261"/>
      </w:pPr>
      <w:rPr>
        <w:rFonts w:hint="default"/>
      </w:rPr>
    </w:lvl>
    <w:lvl w:ilvl="2">
      <w:start w:val="0"/>
      <w:numFmt w:val="bullet"/>
      <w:lvlText w:val="•"/>
      <w:lvlJc w:val="left"/>
      <w:pPr>
        <w:ind w:left="2784" w:hanging="261"/>
      </w:pPr>
      <w:rPr>
        <w:rFonts w:hint="default"/>
      </w:rPr>
    </w:lvl>
    <w:lvl w:ilvl="3">
      <w:start w:val="0"/>
      <w:numFmt w:val="bullet"/>
      <w:lvlText w:val="•"/>
      <w:lvlJc w:val="left"/>
      <w:pPr>
        <w:ind w:left="3607" w:hanging="261"/>
      </w:pPr>
      <w:rPr>
        <w:rFonts w:hint="default"/>
      </w:rPr>
    </w:lvl>
    <w:lvl w:ilvl="4">
      <w:start w:val="0"/>
      <w:numFmt w:val="bullet"/>
      <w:lvlText w:val="•"/>
      <w:lvlJc w:val="left"/>
      <w:pPr>
        <w:ind w:left="4429" w:hanging="261"/>
      </w:pPr>
      <w:rPr>
        <w:rFonts w:hint="default"/>
      </w:rPr>
    </w:lvl>
    <w:lvl w:ilvl="5">
      <w:start w:val="0"/>
      <w:numFmt w:val="bullet"/>
      <w:lvlText w:val="•"/>
      <w:lvlJc w:val="left"/>
      <w:pPr>
        <w:ind w:left="5252" w:hanging="261"/>
      </w:pPr>
      <w:rPr>
        <w:rFonts w:hint="default"/>
      </w:rPr>
    </w:lvl>
    <w:lvl w:ilvl="6">
      <w:start w:val="0"/>
      <w:numFmt w:val="bullet"/>
      <w:lvlText w:val="•"/>
      <w:lvlJc w:val="left"/>
      <w:pPr>
        <w:ind w:left="6074" w:hanging="261"/>
      </w:pPr>
      <w:rPr>
        <w:rFonts w:hint="default"/>
      </w:rPr>
    </w:lvl>
    <w:lvl w:ilvl="7">
      <w:start w:val="0"/>
      <w:numFmt w:val="bullet"/>
      <w:lvlText w:val="•"/>
      <w:lvlJc w:val="left"/>
      <w:pPr>
        <w:ind w:left="6897" w:hanging="261"/>
      </w:pPr>
      <w:rPr>
        <w:rFonts w:hint="default"/>
      </w:rPr>
    </w:lvl>
    <w:lvl w:ilvl="8">
      <w:start w:val="0"/>
      <w:numFmt w:val="bullet"/>
      <w:lvlText w:val="•"/>
      <w:lvlJc w:val="left"/>
      <w:pPr>
        <w:ind w:left="7719" w:hanging="261"/>
      </w:pPr>
      <w:rPr>
        <w:rFonts w:hint="default"/>
      </w:rPr>
    </w:lvl>
  </w:abstractNum>
  <w:abstractNum w:abstractNumId="15">
    <w:multiLevelType w:val="hybridMultilevel"/>
    <w:lvl w:ilvl="0">
      <w:start w:val="25"/>
      <w:numFmt w:val="lowerLetter"/>
      <w:lvlText w:val="%1"/>
      <w:lvlJc w:val="left"/>
      <w:pPr>
        <w:ind w:left="368" w:hanging="314"/>
        <w:jc w:val="left"/>
      </w:pPr>
      <w:rPr>
        <w:rFonts w:hint="default"/>
      </w:rPr>
    </w:lvl>
    <w:lvl w:ilvl="1">
      <w:start w:val="11"/>
      <w:numFmt w:val="lowerLetter"/>
      <w:lvlText w:val="%1-%2"/>
      <w:lvlJc w:val="left"/>
      <w:pPr>
        <w:ind w:left="368" w:hanging="314"/>
        <w:jc w:val="left"/>
      </w:pPr>
      <w:rPr>
        <w:rFonts w:hint="default" w:ascii="Times New Roman" w:hAnsi="Times New Roman" w:eastAsia="Times New Roman" w:cs="Times New Roman"/>
        <w:spacing w:val="-1"/>
        <w:w w:val="97"/>
        <w:sz w:val="24"/>
        <w:szCs w:val="24"/>
      </w:rPr>
    </w:lvl>
    <w:lvl w:ilvl="2">
      <w:start w:val="1"/>
      <w:numFmt w:val="decimal"/>
      <w:lvlText w:val="%3."/>
      <w:lvlJc w:val="left"/>
      <w:pPr>
        <w:ind w:left="537" w:hanging="360"/>
        <w:jc w:val="left"/>
      </w:pPr>
      <w:rPr>
        <w:rFonts w:hint="default"/>
        <w:spacing w:val="-1"/>
        <w:w w:val="100"/>
      </w:rPr>
    </w:lvl>
    <w:lvl w:ilvl="3">
      <w:start w:val="0"/>
      <w:numFmt w:val="bullet"/>
      <w:lvlText w:val="•"/>
      <w:lvlJc w:val="left"/>
      <w:pPr>
        <w:ind w:left="669" w:hanging="360"/>
      </w:pPr>
      <w:rPr>
        <w:rFonts w:hint="default"/>
      </w:rPr>
    </w:lvl>
    <w:lvl w:ilvl="4">
      <w:start w:val="0"/>
      <w:numFmt w:val="bullet"/>
      <w:lvlText w:val="•"/>
      <w:lvlJc w:val="left"/>
      <w:pPr>
        <w:ind w:left="733" w:hanging="360"/>
      </w:pPr>
      <w:rPr>
        <w:rFonts w:hint="default"/>
      </w:rPr>
    </w:lvl>
    <w:lvl w:ilvl="5">
      <w:start w:val="0"/>
      <w:numFmt w:val="bullet"/>
      <w:lvlText w:val="•"/>
      <w:lvlJc w:val="left"/>
      <w:pPr>
        <w:ind w:left="798" w:hanging="360"/>
      </w:pPr>
      <w:rPr>
        <w:rFonts w:hint="default"/>
      </w:rPr>
    </w:lvl>
    <w:lvl w:ilvl="6">
      <w:start w:val="0"/>
      <w:numFmt w:val="bullet"/>
      <w:lvlText w:val="•"/>
      <w:lvlJc w:val="left"/>
      <w:pPr>
        <w:ind w:left="863" w:hanging="360"/>
      </w:pPr>
      <w:rPr>
        <w:rFonts w:hint="default"/>
      </w:rPr>
    </w:lvl>
    <w:lvl w:ilvl="7">
      <w:start w:val="0"/>
      <w:numFmt w:val="bullet"/>
      <w:lvlText w:val="•"/>
      <w:lvlJc w:val="left"/>
      <w:pPr>
        <w:ind w:left="927" w:hanging="360"/>
      </w:pPr>
      <w:rPr>
        <w:rFonts w:hint="default"/>
      </w:rPr>
    </w:lvl>
    <w:lvl w:ilvl="8">
      <w:start w:val="0"/>
      <w:numFmt w:val="bullet"/>
      <w:lvlText w:val="•"/>
      <w:lvlJc w:val="left"/>
      <w:pPr>
        <w:ind w:left="992" w:hanging="360"/>
      </w:pPr>
      <w:rPr>
        <w:rFonts w:hint="default"/>
      </w:rPr>
    </w:lvl>
  </w:abstractNum>
  <w:abstractNum w:abstractNumId="14">
    <w:multiLevelType w:val="hybridMultilevel"/>
    <w:lvl w:ilvl="0">
      <w:start w:val="1"/>
      <w:numFmt w:val="decimal"/>
      <w:lvlText w:val="(%1)"/>
      <w:lvlJc w:val="left"/>
      <w:pPr>
        <w:ind w:left="897" w:hanging="360"/>
        <w:jc w:val="left"/>
      </w:pPr>
      <w:rPr>
        <w:rFonts w:hint="default" w:ascii="Times New Roman" w:hAnsi="Times New Roman" w:eastAsia="Times New Roman" w:cs="Times New Roman"/>
        <w:spacing w:val="-3"/>
        <w:w w:val="100"/>
        <w:sz w:val="24"/>
        <w:szCs w:val="24"/>
      </w:rPr>
    </w:lvl>
    <w:lvl w:ilvl="1">
      <w:start w:val="0"/>
      <w:numFmt w:val="bullet"/>
      <w:lvlText w:val="•"/>
      <w:lvlJc w:val="left"/>
      <w:pPr>
        <w:ind w:left="1746" w:hanging="360"/>
      </w:pPr>
      <w:rPr>
        <w:rFonts w:hint="default"/>
      </w:rPr>
    </w:lvl>
    <w:lvl w:ilvl="2">
      <w:start w:val="0"/>
      <w:numFmt w:val="bullet"/>
      <w:lvlText w:val="•"/>
      <w:lvlJc w:val="left"/>
      <w:pPr>
        <w:ind w:left="2592" w:hanging="360"/>
      </w:pPr>
      <w:rPr>
        <w:rFonts w:hint="default"/>
      </w:rPr>
    </w:lvl>
    <w:lvl w:ilvl="3">
      <w:start w:val="0"/>
      <w:numFmt w:val="bullet"/>
      <w:lvlText w:val="•"/>
      <w:lvlJc w:val="left"/>
      <w:pPr>
        <w:ind w:left="3439" w:hanging="360"/>
      </w:pPr>
      <w:rPr>
        <w:rFonts w:hint="default"/>
      </w:rPr>
    </w:lvl>
    <w:lvl w:ilvl="4">
      <w:start w:val="0"/>
      <w:numFmt w:val="bullet"/>
      <w:lvlText w:val="•"/>
      <w:lvlJc w:val="left"/>
      <w:pPr>
        <w:ind w:left="4285" w:hanging="360"/>
      </w:pPr>
      <w:rPr>
        <w:rFonts w:hint="default"/>
      </w:rPr>
    </w:lvl>
    <w:lvl w:ilvl="5">
      <w:start w:val="0"/>
      <w:numFmt w:val="bullet"/>
      <w:lvlText w:val="•"/>
      <w:lvlJc w:val="left"/>
      <w:pPr>
        <w:ind w:left="5132" w:hanging="360"/>
      </w:pPr>
      <w:rPr>
        <w:rFonts w:hint="default"/>
      </w:rPr>
    </w:lvl>
    <w:lvl w:ilvl="6">
      <w:start w:val="0"/>
      <w:numFmt w:val="bullet"/>
      <w:lvlText w:val="•"/>
      <w:lvlJc w:val="left"/>
      <w:pPr>
        <w:ind w:left="5978" w:hanging="360"/>
      </w:pPr>
      <w:rPr>
        <w:rFonts w:hint="default"/>
      </w:rPr>
    </w:lvl>
    <w:lvl w:ilvl="7">
      <w:start w:val="0"/>
      <w:numFmt w:val="bullet"/>
      <w:lvlText w:val="•"/>
      <w:lvlJc w:val="left"/>
      <w:pPr>
        <w:ind w:left="6825" w:hanging="360"/>
      </w:pPr>
      <w:rPr>
        <w:rFonts w:hint="default"/>
      </w:rPr>
    </w:lvl>
    <w:lvl w:ilvl="8">
      <w:start w:val="0"/>
      <w:numFmt w:val="bullet"/>
      <w:lvlText w:val="•"/>
      <w:lvlJc w:val="left"/>
      <w:pPr>
        <w:ind w:left="7671" w:hanging="360"/>
      </w:pPr>
      <w:rPr>
        <w:rFonts w:hint="default"/>
      </w:rPr>
    </w:lvl>
  </w:abstractNum>
  <w:abstractNum w:abstractNumId="13">
    <w:multiLevelType w:val="hybridMultilevel"/>
    <w:lvl w:ilvl="0">
      <w:start w:val="1"/>
      <w:numFmt w:val="decimal"/>
      <w:lvlText w:val="(%1)"/>
      <w:lvlJc w:val="left"/>
      <w:pPr>
        <w:ind w:left="988" w:hanging="332"/>
        <w:jc w:val="left"/>
      </w:pPr>
      <w:rPr>
        <w:rFonts w:hint="default" w:ascii="Times New Roman" w:hAnsi="Times New Roman" w:eastAsia="Times New Roman" w:cs="Times New Roman"/>
        <w:spacing w:val="-3"/>
        <w:w w:val="100"/>
        <w:sz w:val="24"/>
        <w:szCs w:val="24"/>
      </w:rPr>
    </w:lvl>
    <w:lvl w:ilvl="1">
      <w:start w:val="0"/>
      <w:numFmt w:val="bullet"/>
      <w:lvlText w:val="•"/>
      <w:lvlJc w:val="left"/>
      <w:pPr>
        <w:ind w:left="1818" w:hanging="332"/>
      </w:pPr>
      <w:rPr>
        <w:rFonts w:hint="default"/>
      </w:rPr>
    </w:lvl>
    <w:lvl w:ilvl="2">
      <w:start w:val="0"/>
      <w:numFmt w:val="bullet"/>
      <w:lvlText w:val="•"/>
      <w:lvlJc w:val="left"/>
      <w:pPr>
        <w:ind w:left="2656" w:hanging="332"/>
      </w:pPr>
      <w:rPr>
        <w:rFonts w:hint="default"/>
      </w:rPr>
    </w:lvl>
    <w:lvl w:ilvl="3">
      <w:start w:val="0"/>
      <w:numFmt w:val="bullet"/>
      <w:lvlText w:val="•"/>
      <w:lvlJc w:val="left"/>
      <w:pPr>
        <w:ind w:left="3495" w:hanging="332"/>
      </w:pPr>
      <w:rPr>
        <w:rFonts w:hint="default"/>
      </w:rPr>
    </w:lvl>
    <w:lvl w:ilvl="4">
      <w:start w:val="0"/>
      <w:numFmt w:val="bullet"/>
      <w:lvlText w:val="•"/>
      <w:lvlJc w:val="left"/>
      <w:pPr>
        <w:ind w:left="4333" w:hanging="332"/>
      </w:pPr>
      <w:rPr>
        <w:rFonts w:hint="default"/>
      </w:rPr>
    </w:lvl>
    <w:lvl w:ilvl="5">
      <w:start w:val="0"/>
      <w:numFmt w:val="bullet"/>
      <w:lvlText w:val="•"/>
      <w:lvlJc w:val="left"/>
      <w:pPr>
        <w:ind w:left="5172" w:hanging="332"/>
      </w:pPr>
      <w:rPr>
        <w:rFonts w:hint="default"/>
      </w:rPr>
    </w:lvl>
    <w:lvl w:ilvl="6">
      <w:start w:val="0"/>
      <w:numFmt w:val="bullet"/>
      <w:lvlText w:val="•"/>
      <w:lvlJc w:val="left"/>
      <w:pPr>
        <w:ind w:left="6010" w:hanging="332"/>
      </w:pPr>
      <w:rPr>
        <w:rFonts w:hint="default"/>
      </w:rPr>
    </w:lvl>
    <w:lvl w:ilvl="7">
      <w:start w:val="0"/>
      <w:numFmt w:val="bullet"/>
      <w:lvlText w:val="•"/>
      <w:lvlJc w:val="left"/>
      <w:pPr>
        <w:ind w:left="6849" w:hanging="332"/>
      </w:pPr>
      <w:rPr>
        <w:rFonts w:hint="default"/>
      </w:rPr>
    </w:lvl>
    <w:lvl w:ilvl="8">
      <w:start w:val="0"/>
      <w:numFmt w:val="bullet"/>
      <w:lvlText w:val="•"/>
      <w:lvlJc w:val="left"/>
      <w:pPr>
        <w:ind w:left="7687" w:hanging="332"/>
      </w:pPr>
      <w:rPr>
        <w:rFonts w:hint="default"/>
      </w:rPr>
    </w:lvl>
  </w:abstractNum>
  <w:abstractNum w:abstractNumId="12">
    <w:multiLevelType w:val="hybridMultilevel"/>
    <w:lvl w:ilvl="0">
      <w:start w:val="1"/>
      <w:numFmt w:val="decimal"/>
      <w:lvlText w:val="%1."/>
      <w:lvlJc w:val="left"/>
      <w:pPr>
        <w:ind w:left="897" w:hanging="360"/>
        <w:jc w:val="left"/>
      </w:pPr>
      <w:rPr>
        <w:rFonts w:hint="default" w:ascii="Times New Roman" w:hAnsi="Times New Roman" w:eastAsia="Times New Roman" w:cs="Times New Roman"/>
        <w:spacing w:val="-3"/>
        <w:w w:val="100"/>
        <w:sz w:val="24"/>
        <w:szCs w:val="24"/>
      </w:rPr>
    </w:lvl>
    <w:lvl w:ilvl="1">
      <w:start w:val="0"/>
      <w:numFmt w:val="bullet"/>
      <w:lvlText w:val="•"/>
      <w:lvlJc w:val="left"/>
      <w:pPr>
        <w:ind w:left="1746" w:hanging="360"/>
      </w:pPr>
      <w:rPr>
        <w:rFonts w:hint="default"/>
      </w:rPr>
    </w:lvl>
    <w:lvl w:ilvl="2">
      <w:start w:val="0"/>
      <w:numFmt w:val="bullet"/>
      <w:lvlText w:val="•"/>
      <w:lvlJc w:val="left"/>
      <w:pPr>
        <w:ind w:left="2592" w:hanging="360"/>
      </w:pPr>
      <w:rPr>
        <w:rFonts w:hint="default"/>
      </w:rPr>
    </w:lvl>
    <w:lvl w:ilvl="3">
      <w:start w:val="0"/>
      <w:numFmt w:val="bullet"/>
      <w:lvlText w:val="•"/>
      <w:lvlJc w:val="left"/>
      <w:pPr>
        <w:ind w:left="3439" w:hanging="360"/>
      </w:pPr>
      <w:rPr>
        <w:rFonts w:hint="default"/>
      </w:rPr>
    </w:lvl>
    <w:lvl w:ilvl="4">
      <w:start w:val="0"/>
      <w:numFmt w:val="bullet"/>
      <w:lvlText w:val="•"/>
      <w:lvlJc w:val="left"/>
      <w:pPr>
        <w:ind w:left="4285" w:hanging="360"/>
      </w:pPr>
      <w:rPr>
        <w:rFonts w:hint="default"/>
      </w:rPr>
    </w:lvl>
    <w:lvl w:ilvl="5">
      <w:start w:val="0"/>
      <w:numFmt w:val="bullet"/>
      <w:lvlText w:val="•"/>
      <w:lvlJc w:val="left"/>
      <w:pPr>
        <w:ind w:left="5132" w:hanging="360"/>
      </w:pPr>
      <w:rPr>
        <w:rFonts w:hint="default"/>
      </w:rPr>
    </w:lvl>
    <w:lvl w:ilvl="6">
      <w:start w:val="0"/>
      <w:numFmt w:val="bullet"/>
      <w:lvlText w:val="•"/>
      <w:lvlJc w:val="left"/>
      <w:pPr>
        <w:ind w:left="5978" w:hanging="360"/>
      </w:pPr>
      <w:rPr>
        <w:rFonts w:hint="default"/>
      </w:rPr>
    </w:lvl>
    <w:lvl w:ilvl="7">
      <w:start w:val="0"/>
      <w:numFmt w:val="bullet"/>
      <w:lvlText w:val="•"/>
      <w:lvlJc w:val="left"/>
      <w:pPr>
        <w:ind w:left="6825" w:hanging="360"/>
      </w:pPr>
      <w:rPr>
        <w:rFonts w:hint="default"/>
      </w:rPr>
    </w:lvl>
    <w:lvl w:ilvl="8">
      <w:start w:val="0"/>
      <w:numFmt w:val="bullet"/>
      <w:lvlText w:val="•"/>
      <w:lvlJc w:val="left"/>
      <w:pPr>
        <w:ind w:left="7671" w:hanging="360"/>
      </w:pPr>
      <w:rPr>
        <w:rFonts w:hint="default"/>
      </w:rPr>
    </w:lvl>
  </w:abstractNum>
  <w:abstractNum w:abstractNumId="11">
    <w:multiLevelType w:val="hybridMultilevel"/>
    <w:lvl w:ilvl="0">
      <w:start w:val="1"/>
      <w:numFmt w:val="lowerLetter"/>
      <w:lvlText w:val="%1)"/>
      <w:lvlJc w:val="left"/>
      <w:pPr>
        <w:ind w:left="537" w:hanging="360"/>
        <w:jc w:val="left"/>
      </w:pPr>
      <w:rPr>
        <w:rFonts w:hint="default" w:ascii="Times New Roman" w:hAnsi="Times New Roman" w:eastAsia="Times New Roman" w:cs="Times New Roman"/>
        <w:spacing w:val="-7"/>
        <w:w w:val="100"/>
        <w:sz w:val="24"/>
        <w:szCs w:val="24"/>
      </w:rPr>
    </w:lvl>
    <w:lvl w:ilvl="1">
      <w:start w:val="0"/>
      <w:numFmt w:val="bullet"/>
      <w:lvlText w:val="•"/>
      <w:lvlJc w:val="left"/>
      <w:pPr>
        <w:ind w:left="1422" w:hanging="360"/>
      </w:pPr>
      <w:rPr>
        <w:rFonts w:hint="default"/>
      </w:rPr>
    </w:lvl>
    <w:lvl w:ilvl="2">
      <w:start w:val="0"/>
      <w:numFmt w:val="bullet"/>
      <w:lvlText w:val="•"/>
      <w:lvlJc w:val="left"/>
      <w:pPr>
        <w:ind w:left="2304" w:hanging="360"/>
      </w:pPr>
      <w:rPr>
        <w:rFonts w:hint="default"/>
      </w:rPr>
    </w:lvl>
    <w:lvl w:ilvl="3">
      <w:start w:val="0"/>
      <w:numFmt w:val="bullet"/>
      <w:lvlText w:val="•"/>
      <w:lvlJc w:val="left"/>
      <w:pPr>
        <w:ind w:left="3187" w:hanging="360"/>
      </w:pPr>
      <w:rPr>
        <w:rFonts w:hint="default"/>
      </w:rPr>
    </w:lvl>
    <w:lvl w:ilvl="4">
      <w:start w:val="0"/>
      <w:numFmt w:val="bullet"/>
      <w:lvlText w:val="•"/>
      <w:lvlJc w:val="left"/>
      <w:pPr>
        <w:ind w:left="4069" w:hanging="360"/>
      </w:pPr>
      <w:rPr>
        <w:rFonts w:hint="default"/>
      </w:rPr>
    </w:lvl>
    <w:lvl w:ilvl="5">
      <w:start w:val="0"/>
      <w:numFmt w:val="bullet"/>
      <w:lvlText w:val="•"/>
      <w:lvlJc w:val="left"/>
      <w:pPr>
        <w:ind w:left="4952" w:hanging="360"/>
      </w:pPr>
      <w:rPr>
        <w:rFonts w:hint="default"/>
      </w:rPr>
    </w:lvl>
    <w:lvl w:ilvl="6">
      <w:start w:val="0"/>
      <w:numFmt w:val="bullet"/>
      <w:lvlText w:val="•"/>
      <w:lvlJc w:val="left"/>
      <w:pPr>
        <w:ind w:left="5834" w:hanging="360"/>
      </w:pPr>
      <w:rPr>
        <w:rFonts w:hint="default"/>
      </w:rPr>
    </w:lvl>
    <w:lvl w:ilvl="7">
      <w:start w:val="0"/>
      <w:numFmt w:val="bullet"/>
      <w:lvlText w:val="•"/>
      <w:lvlJc w:val="left"/>
      <w:pPr>
        <w:ind w:left="6717" w:hanging="360"/>
      </w:pPr>
      <w:rPr>
        <w:rFonts w:hint="default"/>
      </w:rPr>
    </w:lvl>
    <w:lvl w:ilvl="8">
      <w:start w:val="0"/>
      <w:numFmt w:val="bullet"/>
      <w:lvlText w:val="•"/>
      <w:lvlJc w:val="left"/>
      <w:pPr>
        <w:ind w:left="7599" w:hanging="360"/>
      </w:pPr>
      <w:rPr>
        <w:rFonts w:hint="default"/>
      </w:rPr>
    </w:lvl>
  </w:abstractNum>
  <w:abstractNum w:abstractNumId="10">
    <w:multiLevelType w:val="hybridMultilevel"/>
    <w:lvl w:ilvl="0">
      <w:start w:val="0"/>
      <w:numFmt w:val="bullet"/>
      <w:lvlText w:val="◆"/>
      <w:lvlJc w:val="left"/>
      <w:pPr>
        <w:ind w:left="537" w:hanging="360"/>
      </w:pPr>
      <w:rPr>
        <w:rFonts w:hint="default" w:ascii="Arial" w:hAnsi="Arial" w:eastAsia="Arial" w:cs="Arial"/>
        <w:w w:val="100"/>
        <w:sz w:val="24"/>
        <w:szCs w:val="24"/>
      </w:rPr>
    </w:lvl>
    <w:lvl w:ilvl="1">
      <w:start w:val="0"/>
      <w:numFmt w:val="bullet"/>
      <w:lvlText w:val="•"/>
      <w:lvlJc w:val="left"/>
      <w:pPr>
        <w:ind w:left="1422" w:hanging="360"/>
      </w:pPr>
      <w:rPr>
        <w:rFonts w:hint="default"/>
      </w:rPr>
    </w:lvl>
    <w:lvl w:ilvl="2">
      <w:start w:val="0"/>
      <w:numFmt w:val="bullet"/>
      <w:lvlText w:val="•"/>
      <w:lvlJc w:val="left"/>
      <w:pPr>
        <w:ind w:left="2304" w:hanging="360"/>
      </w:pPr>
      <w:rPr>
        <w:rFonts w:hint="default"/>
      </w:rPr>
    </w:lvl>
    <w:lvl w:ilvl="3">
      <w:start w:val="0"/>
      <w:numFmt w:val="bullet"/>
      <w:lvlText w:val="•"/>
      <w:lvlJc w:val="left"/>
      <w:pPr>
        <w:ind w:left="3187" w:hanging="360"/>
      </w:pPr>
      <w:rPr>
        <w:rFonts w:hint="default"/>
      </w:rPr>
    </w:lvl>
    <w:lvl w:ilvl="4">
      <w:start w:val="0"/>
      <w:numFmt w:val="bullet"/>
      <w:lvlText w:val="•"/>
      <w:lvlJc w:val="left"/>
      <w:pPr>
        <w:ind w:left="4069" w:hanging="360"/>
      </w:pPr>
      <w:rPr>
        <w:rFonts w:hint="default"/>
      </w:rPr>
    </w:lvl>
    <w:lvl w:ilvl="5">
      <w:start w:val="0"/>
      <w:numFmt w:val="bullet"/>
      <w:lvlText w:val="•"/>
      <w:lvlJc w:val="left"/>
      <w:pPr>
        <w:ind w:left="4952" w:hanging="360"/>
      </w:pPr>
      <w:rPr>
        <w:rFonts w:hint="default"/>
      </w:rPr>
    </w:lvl>
    <w:lvl w:ilvl="6">
      <w:start w:val="0"/>
      <w:numFmt w:val="bullet"/>
      <w:lvlText w:val="•"/>
      <w:lvlJc w:val="left"/>
      <w:pPr>
        <w:ind w:left="5834" w:hanging="360"/>
      </w:pPr>
      <w:rPr>
        <w:rFonts w:hint="default"/>
      </w:rPr>
    </w:lvl>
    <w:lvl w:ilvl="7">
      <w:start w:val="0"/>
      <w:numFmt w:val="bullet"/>
      <w:lvlText w:val="•"/>
      <w:lvlJc w:val="left"/>
      <w:pPr>
        <w:ind w:left="6717" w:hanging="360"/>
      </w:pPr>
      <w:rPr>
        <w:rFonts w:hint="default"/>
      </w:rPr>
    </w:lvl>
    <w:lvl w:ilvl="8">
      <w:start w:val="0"/>
      <w:numFmt w:val="bullet"/>
      <w:lvlText w:val="•"/>
      <w:lvlJc w:val="left"/>
      <w:pPr>
        <w:ind w:left="7599" w:hanging="360"/>
      </w:pPr>
      <w:rPr>
        <w:rFonts w:hint="default"/>
      </w:rPr>
    </w:lvl>
  </w:abstractNum>
  <w:abstractNum w:abstractNumId="9">
    <w:multiLevelType w:val="hybridMultilevel"/>
    <w:lvl w:ilvl="0">
      <w:start w:val="7"/>
      <w:numFmt w:val="decimal"/>
      <w:lvlText w:val="%1"/>
      <w:lvlJc w:val="left"/>
      <w:pPr>
        <w:ind w:left="1084" w:hanging="908"/>
        <w:jc w:val="left"/>
      </w:pPr>
      <w:rPr>
        <w:rFonts w:hint="default"/>
      </w:rPr>
    </w:lvl>
    <w:lvl w:ilvl="1">
      <w:start w:val="2"/>
      <w:numFmt w:val="decimal"/>
      <w:lvlText w:val="%1.%2"/>
      <w:lvlJc w:val="left"/>
      <w:pPr>
        <w:ind w:left="1084" w:hanging="908"/>
        <w:jc w:val="left"/>
      </w:pPr>
      <w:rPr>
        <w:rFonts w:hint="default"/>
      </w:rPr>
    </w:lvl>
    <w:lvl w:ilvl="2">
      <w:start w:val="1"/>
      <w:numFmt w:val="decimal"/>
      <w:lvlText w:val="%1.%2.%3."/>
      <w:lvlJc w:val="left"/>
      <w:pPr>
        <w:ind w:left="1084" w:hanging="908"/>
        <w:jc w:val="left"/>
      </w:pPr>
      <w:rPr>
        <w:rFonts w:hint="default"/>
        <w:b/>
        <w:bCs/>
        <w:spacing w:val="-2"/>
        <w:w w:val="100"/>
      </w:rPr>
    </w:lvl>
    <w:lvl w:ilvl="3">
      <w:start w:val="0"/>
      <w:numFmt w:val="bullet"/>
      <w:lvlText w:val="•"/>
      <w:lvlJc w:val="left"/>
      <w:pPr>
        <w:ind w:left="3565" w:hanging="908"/>
      </w:pPr>
      <w:rPr>
        <w:rFonts w:hint="default"/>
      </w:rPr>
    </w:lvl>
    <w:lvl w:ilvl="4">
      <w:start w:val="0"/>
      <w:numFmt w:val="bullet"/>
      <w:lvlText w:val="•"/>
      <w:lvlJc w:val="left"/>
      <w:pPr>
        <w:ind w:left="4393" w:hanging="908"/>
      </w:pPr>
      <w:rPr>
        <w:rFonts w:hint="default"/>
      </w:rPr>
    </w:lvl>
    <w:lvl w:ilvl="5">
      <w:start w:val="0"/>
      <w:numFmt w:val="bullet"/>
      <w:lvlText w:val="•"/>
      <w:lvlJc w:val="left"/>
      <w:pPr>
        <w:ind w:left="5222" w:hanging="908"/>
      </w:pPr>
      <w:rPr>
        <w:rFonts w:hint="default"/>
      </w:rPr>
    </w:lvl>
    <w:lvl w:ilvl="6">
      <w:start w:val="0"/>
      <w:numFmt w:val="bullet"/>
      <w:lvlText w:val="•"/>
      <w:lvlJc w:val="left"/>
      <w:pPr>
        <w:ind w:left="6050" w:hanging="908"/>
      </w:pPr>
      <w:rPr>
        <w:rFonts w:hint="default"/>
      </w:rPr>
    </w:lvl>
    <w:lvl w:ilvl="7">
      <w:start w:val="0"/>
      <w:numFmt w:val="bullet"/>
      <w:lvlText w:val="•"/>
      <w:lvlJc w:val="left"/>
      <w:pPr>
        <w:ind w:left="6879" w:hanging="908"/>
      </w:pPr>
      <w:rPr>
        <w:rFonts w:hint="default"/>
      </w:rPr>
    </w:lvl>
    <w:lvl w:ilvl="8">
      <w:start w:val="0"/>
      <w:numFmt w:val="bullet"/>
      <w:lvlText w:val="•"/>
      <w:lvlJc w:val="left"/>
      <w:pPr>
        <w:ind w:left="7707" w:hanging="908"/>
      </w:pPr>
      <w:rPr>
        <w:rFonts w:hint="default"/>
      </w:rPr>
    </w:lvl>
  </w:abstractNum>
  <w:abstractNum w:abstractNumId="8">
    <w:multiLevelType w:val="hybridMultilevel"/>
    <w:lvl w:ilvl="0">
      <w:start w:val="1"/>
      <w:numFmt w:val="lowerRoman"/>
      <w:lvlText w:val="%1)"/>
      <w:lvlJc w:val="left"/>
      <w:pPr>
        <w:ind w:left="177" w:hanging="256"/>
        <w:jc w:val="left"/>
      </w:pPr>
      <w:rPr>
        <w:rFonts w:hint="default" w:ascii="Times New Roman" w:hAnsi="Times New Roman" w:eastAsia="Times New Roman" w:cs="Times New Roman"/>
        <w:spacing w:val="-14"/>
        <w:w w:val="100"/>
        <w:sz w:val="24"/>
        <w:szCs w:val="24"/>
      </w:rPr>
    </w:lvl>
    <w:lvl w:ilvl="1">
      <w:start w:val="0"/>
      <w:numFmt w:val="bullet"/>
      <w:lvlText w:val="•"/>
      <w:lvlJc w:val="left"/>
      <w:pPr>
        <w:ind w:left="1098" w:hanging="256"/>
      </w:pPr>
      <w:rPr>
        <w:rFonts w:hint="default"/>
      </w:rPr>
    </w:lvl>
    <w:lvl w:ilvl="2">
      <w:start w:val="0"/>
      <w:numFmt w:val="bullet"/>
      <w:lvlText w:val="•"/>
      <w:lvlJc w:val="left"/>
      <w:pPr>
        <w:ind w:left="2016" w:hanging="256"/>
      </w:pPr>
      <w:rPr>
        <w:rFonts w:hint="default"/>
      </w:rPr>
    </w:lvl>
    <w:lvl w:ilvl="3">
      <w:start w:val="0"/>
      <w:numFmt w:val="bullet"/>
      <w:lvlText w:val="•"/>
      <w:lvlJc w:val="left"/>
      <w:pPr>
        <w:ind w:left="2935" w:hanging="256"/>
      </w:pPr>
      <w:rPr>
        <w:rFonts w:hint="default"/>
      </w:rPr>
    </w:lvl>
    <w:lvl w:ilvl="4">
      <w:start w:val="0"/>
      <w:numFmt w:val="bullet"/>
      <w:lvlText w:val="•"/>
      <w:lvlJc w:val="left"/>
      <w:pPr>
        <w:ind w:left="3853" w:hanging="256"/>
      </w:pPr>
      <w:rPr>
        <w:rFonts w:hint="default"/>
      </w:rPr>
    </w:lvl>
    <w:lvl w:ilvl="5">
      <w:start w:val="0"/>
      <w:numFmt w:val="bullet"/>
      <w:lvlText w:val="•"/>
      <w:lvlJc w:val="left"/>
      <w:pPr>
        <w:ind w:left="4772" w:hanging="256"/>
      </w:pPr>
      <w:rPr>
        <w:rFonts w:hint="default"/>
      </w:rPr>
    </w:lvl>
    <w:lvl w:ilvl="6">
      <w:start w:val="0"/>
      <w:numFmt w:val="bullet"/>
      <w:lvlText w:val="•"/>
      <w:lvlJc w:val="left"/>
      <w:pPr>
        <w:ind w:left="5690" w:hanging="256"/>
      </w:pPr>
      <w:rPr>
        <w:rFonts w:hint="default"/>
      </w:rPr>
    </w:lvl>
    <w:lvl w:ilvl="7">
      <w:start w:val="0"/>
      <w:numFmt w:val="bullet"/>
      <w:lvlText w:val="•"/>
      <w:lvlJc w:val="left"/>
      <w:pPr>
        <w:ind w:left="6609" w:hanging="256"/>
      </w:pPr>
      <w:rPr>
        <w:rFonts w:hint="default"/>
      </w:rPr>
    </w:lvl>
    <w:lvl w:ilvl="8">
      <w:start w:val="0"/>
      <w:numFmt w:val="bullet"/>
      <w:lvlText w:val="•"/>
      <w:lvlJc w:val="left"/>
      <w:pPr>
        <w:ind w:left="7527" w:hanging="256"/>
      </w:pPr>
      <w:rPr>
        <w:rFonts w:hint="default"/>
      </w:rPr>
    </w:lvl>
  </w:abstractNum>
  <w:abstractNum w:abstractNumId="7">
    <w:multiLevelType w:val="hybridMultilevel"/>
    <w:lvl w:ilvl="0">
      <w:start w:val="0"/>
      <w:numFmt w:val="bullet"/>
      <w:lvlText w:val="•"/>
      <w:lvlJc w:val="left"/>
      <w:pPr>
        <w:ind w:left="537" w:hanging="360"/>
      </w:pPr>
      <w:rPr>
        <w:rFonts w:hint="default" w:ascii="Arial" w:hAnsi="Arial" w:eastAsia="Arial" w:cs="Arial"/>
        <w:w w:val="131"/>
        <w:sz w:val="24"/>
        <w:szCs w:val="24"/>
      </w:rPr>
    </w:lvl>
    <w:lvl w:ilvl="1">
      <w:start w:val="0"/>
      <w:numFmt w:val="bullet"/>
      <w:lvlText w:val="•"/>
      <w:lvlJc w:val="left"/>
      <w:pPr>
        <w:ind w:left="1422" w:hanging="360"/>
      </w:pPr>
      <w:rPr>
        <w:rFonts w:hint="default"/>
      </w:rPr>
    </w:lvl>
    <w:lvl w:ilvl="2">
      <w:start w:val="0"/>
      <w:numFmt w:val="bullet"/>
      <w:lvlText w:val="•"/>
      <w:lvlJc w:val="left"/>
      <w:pPr>
        <w:ind w:left="2304" w:hanging="360"/>
      </w:pPr>
      <w:rPr>
        <w:rFonts w:hint="default"/>
      </w:rPr>
    </w:lvl>
    <w:lvl w:ilvl="3">
      <w:start w:val="0"/>
      <w:numFmt w:val="bullet"/>
      <w:lvlText w:val="•"/>
      <w:lvlJc w:val="left"/>
      <w:pPr>
        <w:ind w:left="3187" w:hanging="360"/>
      </w:pPr>
      <w:rPr>
        <w:rFonts w:hint="default"/>
      </w:rPr>
    </w:lvl>
    <w:lvl w:ilvl="4">
      <w:start w:val="0"/>
      <w:numFmt w:val="bullet"/>
      <w:lvlText w:val="•"/>
      <w:lvlJc w:val="left"/>
      <w:pPr>
        <w:ind w:left="4069" w:hanging="360"/>
      </w:pPr>
      <w:rPr>
        <w:rFonts w:hint="default"/>
      </w:rPr>
    </w:lvl>
    <w:lvl w:ilvl="5">
      <w:start w:val="0"/>
      <w:numFmt w:val="bullet"/>
      <w:lvlText w:val="•"/>
      <w:lvlJc w:val="left"/>
      <w:pPr>
        <w:ind w:left="4952" w:hanging="360"/>
      </w:pPr>
      <w:rPr>
        <w:rFonts w:hint="default"/>
      </w:rPr>
    </w:lvl>
    <w:lvl w:ilvl="6">
      <w:start w:val="0"/>
      <w:numFmt w:val="bullet"/>
      <w:lvlText w:val="•"/>
      <w:lvlJc w:val="left"/>
      <w:pPr>
        <w:ind w:left="5834" w:hanging="360"/>
      </w:pPr>
      <w:rPr>
        <w:rFonts w:hint="default"/>
      </w:rPr>
    </w:lvl>
    <w:lvl w:ilvl="7">
      <w:start w:val="0"/>
      <w:numFmt w:val="bullet"/>
      <w:lvlText w:val="•"/>
      <w:lvlJc w:val="left"/>
      <w:pPr>
        <w:ind w:left="6717" w:hanging="360"/>
      </w:pPr>
      <w:rPr>
        <w:rFonts w:hint="default"/>
      </w:rPr>
    </w:lvl>
    <w:lvl w:ilvl="8">
      <w:start w:val="0"/>
      <w:numFmt w:val="bullet"/>
      <w:lvlText w:val="•"/>
      <w:lvlJc w:val="left"/>
      <w:pPr>
        <w:ind w:left="7599" w:hanging="360"/>
      </w:pPr>
      <w:rPr>
        <w:rFonts w:hint="default"/>
      </w:rPr>
    </w:lvl>
  </w:abstractNum>
  <w:abstractNum w:abstractNumId="6">
    <w:multiLevelType w:val="hybridMultilevel"/>
    <w:lvl w:ilvl="0">
      <w:start w:val="1"/>
      <w:numFmt w:val="lowerLetter"/>
      <w:lvlText w:val="%1)"/>
      <w:lvlJc w:val="left"/>
      <w:pPr>
        <w:ind w:left="897" w:hanging="360"/>
        <w:jc w:val="left"/>
      </w:pPr>
      <w:rPr>
        <w:rFonts w:hint="default" w:ascii="Times New Roman" w:hAnsi="Times New Roman" w:eastAsia="Times New Roman" w:cs="Times New Roman"/>
        <w:spacing w:val="-7"/>
        <w:w w:val="100"/>
        <w:sz w:val="24"/>
        <w:szCs w:val="24"/>
      </w:rPr>
    </w:lvl>
    <w:lvl w:ilvl="1">
      <w:start w:val="0"/>
      <w:numFmt w:val="bullet"/>
      <w:lvlText w:val="•"/>
      <w:lvlJc w:val="left"/>
      <w:pPr>
        <w:ind w:left="1746" w:hanging="360"/>
      </w:pPr>
      <w:rPr>
        <w:rFonts w:hint="default"/>
      </w:rPr>
    </w:lvl>
    <w:lvl w:ilvl="2">
      <w:start w:val="0"/>
      <w:numFmt w:val="bullet"/>
      <w:lvlText w:val="•"/>
      <w:lvlJc w:val="left"/>
      <w:pPr>
        <w:ind w:left="2592" w:hanging="360"/>
      </w:pPr>
      <w:rPr>
        <w:rFonts w:hint="default"/>
      </w:rPr>
    </w:lvl>
    <w:lvl w:ilvl="3">
      <w:start w:val="0"/>
      <w:numFmt w:val="bullet"/>
      <w:lvlText w:val="•"/>
      <w:lvlJc w:val="left"/>
      <w:pPr>
        <w:ind w:left="3439" w:hanging="360"/>
      </w:pPr>
      <w:rPr>
        <w:rFonts w:hint="default"/>
      </w:rPr>
    </w:lvl>
    <w:lvl w:ilvl="4">
      <w:start w:val="0"/>
      <w:numFmt w:val="bullet"/>
      <w:lvlText w:val="•"/>
      <w:lvlJc w:val="left"/>
      <w:pPr>
        <w:ind w:left="4285" w:hanging="360"/>
      </w:pPr>
      <w:rPr>
        <w:rFonts w:hint="default"/>
      </w:rPr>
    </w:lvl>
    <w:lvl w:ilvl="5">
      <w:start w:val="0"/>
      <w:numFmt w:val="bullet"/>
      <w:lvlText w:val="•"/>
      <w:lvlJc w:val="left"/>
      <w:pPr>
        <w:ind w:left="5132" w:hanging="360"/>
      </w:pPr>
      <w:rPr>
        <w:rFonts w:hint="default"/>
      </w:rPr>
    </w:lvl>
    <w:lvl w:ilvl="6">
      <w:start w:val="0"/>
      <w:numFmt w:val="bullet"/>
      <w:lvlText w:val="•"/>
      <w:lvlJc w:val="left"/>
      <w:pPr>
        <w:ind w:left="5978" w:hanging="360"/>
      </w:pPr>
      <w:rPr>
        <w:rFonts w:hint="default"/>
      </w:rPr>
    </w:lvl>
    <w:lvl w:ilvl="7">
      <w:start w:val="0"/>
      <w:numFmt w:val="bullet"/>
      <w:lvlText w:val="•"/>
      <w:lvlJc w:val="left"/>
      <w:pPr>
        <w:ind w:left="6825" w:hanging="360"/>
      </w:pPr>
      <w:rPr>
        <w:rFonts w:hint="default"/>
      </w:rPr>
    </w:lvl>
    <w:lvl w:ilvl="8">
      <w:start w:val="0"/>
      <w:numFmt w:val="bullet"/>
      <w:lvlText w:val="•"/>
      <w:lvlJc w:val="left"/>
      <w:pPr>
        <w:ind w:left="7671" w:hanging="360"/>
      </w:pPr>
      <w:rPr>
        <w:rFonts w:hint="default"/>
      </w:rPr>
    </w:lvl>
  </w:abstractNum>
  <w:abstractNum w:abstractNumId="5">
    <w:multiLevelType w:val="hybridMultilevel"/>
    <w:lvl w:ilvl="0">
      <w:start w:val="1"/>
      <w:numFmt w:val="lowerLetter"/>
      <w:lvlText w:val="%1)"/>
      <w:lvlJc w:val="left"/>
      <w:pPr>
        <w:ind w:left="897" w:hanging="360"/>
        <w:jc w:val="left"/>
      </w:pPr>
      <w:rPr>
        <w:rFonts w:hint="default" w:ascii="Times New Roman" w:hAnsi="Times New Roman" w:eastAsia="Times New Roman" w:cs="Times New Roman"/>
        <w:i/>
        <w:spacing w:val="-20"/>
        <w:w w:val="100"/>
        <w:sz w:val="24"/>
        <w:szCs w:val="24"/>
      </w:rPr>
    </w:lvl>
    <w:lvl w:ilvl="1">
      <w:start w:val="0"/>
      <w:numFmt w:val="bullet"/>
      <w:lvlText w:val="•"/>
      <w:lvlJc w:val="left"/>
      <w:pPr>
        <w:ind w:left="1746" w:hanging="360"/>
      </w:pPr>
      <w:rPr>
        <w:rFonts w:hint="default"/>
      </w:rPr>
    </w:lvl>
    <w:lvl w:ilvl="2">
      <w:start w:val="0"/>
      <w:numFmt w:val="bullet"/>
      <w:lvlText w:val="•"/>
      <w:lvlJc w:val="left"/>
      <w:pPr>
        <w:ind w:left="2592" w:hanging="360"/>
      </w:pPr>
      <w:rPr>
        <w:rFonts w:hint="default"/>
      </w:rPr>
    </w:lvl>
    <w:lvl w:ilvl="3">
      <w:start w:val="0"/>
      <w:numFmt w:val="bullet"/>
      <w:lvlText w:val="•"/>
      <w:lvlJc w:val="left"/>
      <w:pPr>
        <w:ind w:left="3439" w:hanging="360"/>
      </w:pPr>
      <w:rPr>
        <w:rFonts w:hint="default"/>
      </w:rPr>
    </w:lvl>
    <w:lvl w:ilvl="4">
      <w:start w:val="0"/>
      <w:numFmt w:val="bullet"/>
      <w:lvlText w:val="•"/>
      <w:lvlJc w:val="left"/>
      <w:pPr>
        <w:ind w:left="4285" w:hanging="360"/>
      </w:pPr>
      <w:rPr>
        <w:rFonts w:hint="default"/>
      </w:rPr>
    </w:lvl>
    <w:lvl w:ilvl="5">
      <w:start w:val="0"/>
      <w:numFmt w:val="bullet"/>
      <w:lvlText w:val="•"/>
      <w:lvlJc w:val="left"/>
      <w:pPr>
        <w:ind w:left="5132" w:hanging="360"/>
      </w:pPr>
      <w:rPr>
        <w:rFonts w:hint="default"/>
      </w:rPr>
    </w:lvl>
    <w:lvl w:ilvl="6">
      <w:start w:val="0"/>
      <w:numFmt w:val="bullet"/>
      <w:lvlText w:val="•"/>
      <w:lvlJc w:val="left"/>
      <w:pPr>
        <w:ind w:left="5978" w:hanging="360"/>
      </w:pPr>
      <w:rPr>
        <w:rFonts w:hint="default"/>
      </w:rPr>
    </w:lvl>
    <w:lvl w:ilvl="7">
      <w:start w:val="0"/>
      <w:numFmt w:val="bullet"/>
      <w:lvlText w:val="•"/>
      <w:lvlJc w:val="left"/>
      <w:pPr>
        <w:ind w:left="6825" w:hanging="360"/>
      </w:pPr>
      <w:rPr>
        <w:rFonts w:hint="default"/>
      </w:rPr>
    </w:lvl>
    <w:lvl w:ilvl="8">
      <w:start w:val="0"/>
      <w:numFmt w:val="bullet"/>
      <w:lvlText w:val="•"/>
      <w:lvlJc w:val="left"/>
      <w:pPr>
        <w:ind w:left="7671" w:hanging="360"/>
      </w:pPr>
      <w:rPr>
        <w:rFonts w:hint="default"/>
      </w:rPr>
    </w:lvl>
  </w:abstractNum>
  <w:abstractNum w:abstractNumId="4">
    <w:multiLevelType w:val="hybridMultilevel"/>
    <w:lvl w:ilvl="0">
      <w:start w:val="1"/>
      <w:numFmt w:val="lowerLetter"/>
      <w:lvlText w:val="%1)"/>
      <w:lvlJc w:val="left"/>
      <w:pPr>
        <w:ind w:left="886" w:hanging="710"/>
        <w:jc w:val="left"/>
      </w:pPr>
      <w:rPr>
        <w:rFonts w:hint="default" w:ascii="Times New Roman" w:hAnsi="Times New Roman" w:eastAsia="Times New Roman" w:cs="Times New Roman"/>
        <w:spacing w:val="-2"/>
        <w:w w:val="100"/>
        <w:sz w:val="24"/>
        <w:szCs w:val="24"/>
      </w:rPr>
    </w:lvl>
    <w:lvl w:ilvl="1">
      <w:start w:val="0"/>
      <w:numFmt w:val="bullet"/>
      <w:lvlText w:val="•"/>
      <w:lvlJc w:val="left"/>
      <w:pPr>
        <w:ind w:left="1728" w:hanging="710"/>
      </w:pPr>
      <w:rPr>
        <w:rFonts w:hint="default"/>
      </w:rPr>
    </w:lvl>
    <w:lvl w:ilvl="2">
      <w:start w:val="0"/>
      <w:numFmt w:val="bullet"/>
      <w:lvlText w:val="•"/>
      <w:lvlJc w:val="left"/>
      <w:pPr>
        <w:ind w:left="2576" w:hanging="710"/>
      </w:pPr>
      <w:rPr>
        <w:rFonts w:hint="default"/>
      </w:rPr>
    </w:lvl>
    <w:lvl w:ilvl="3">
      <w:start w:val="0"/>
      <w:numFmt w:val="bullet"/>
      <w:lvlText w:val="•"/>
      <w:lvlJc w:val="left"/>
      <w:pPr>
        <w:ind w:left="3425" w:hanging="710"/>
      </w:pPr>
      <w:rPr>
        <w:rFonts w:hint="default"/>
      </w:rPr>
    </w:lvl>
    <w:lvl w:ilvl="4">
      <w:start w:val="0"/>
      <w:numFmt w:val="bullet"/>
      <w:lvlText w:val="•"/>
      <w:lvlJc w:val="left"/>
      <w:pPr>
        <w:ind w:left="4273" w:hanging="710"/>
      </w:pPr>
      <w:rPr>
        <w:rFonts w:hint="default"/>
      </w:rPr>
    </w:lvl>
    <w:lvl w:ilvl="5">
      <w:start w:val="0"/>
      <w:numFmt w:val="bullet"/>
      <w:lvlText w:val="•"/>
      <w:lvlJc w:val="left"/>
      <w:pPr>
        <w:ind w:left="5122" w:hanging="710"/>
      </w:pPr>
      <w:rPr>
        <w:rFonts w:hint="default"/>
      </w:rPr>
    </w:lvl>
    <w:lvl w:ilvl="6">
      <w:start w:val="0"/>
      <w:numFmt w:val="bullet"/>
      <w:lvlText w:val="•"/>
      <w:lvlJc w:val="left"/>
      <w:pPr>
        <w:ind w:left="5970" w:hanging="710"/>
      </w:pPr>
      <w:rPr>
        <w:rFonts w:hint="default"/>
      </w:rPr>
    </w:lvl>
    <w:lvl w:ilvl="7">
      <w:start w:val="0"/>
      <w:numFmt w:val="bullet"/>
      <w:lvlText w:val="•"/>
      <w:lvlJc w:val="left"/>
      <w:pPr>
        <w:ind w:left="6819" w:hanging="710"/>
      </w:pPr>
      <w:rPr>
        <w:rFonts w:hint="default"/>
      </w:rPr>
    </w:lvl>
    <w:lvl w:ilvl="8">
      <w:start w:val="0"/>
      <w:numFmt w:val="bullet"/>
      <w:lvlText w:val="•"/>
      <w:lvlJc w:val="left"/>
      <w:pPr>
        <w:ind w:left="7667" w:hanging="710"/>
      </w:pPr>
      <w:rPr>
        <w:rFonts w:hint="default"/>
      </w:rPr>
    </w:lvl>
  </w:abstractNum>
  <w:abstractNum w:abstractNumId="3">
    <w:multiLevelType w:val="hybridMultilevel"/>
    <w:lvl w:ilvl="0">
      <w:start w:val="1"/>
      <w:numFmt w:val="lowerLetter"/>
      <w:lvlText w:val="%1)"/>
      <w:lvlJc w:val="left"/>
      <w:pPr>
        <w:ind w:left="886" w:hanging="710"/>
        <w:jc w:val="left"/>
      </w:pPr>
      <w:rPr>
        <w:rFonts w:hint="default" w:ascii="Times New Roman" w:hAnsi="Times New Roman" w:eastAsia="Times New Roman" w:cs="Times New Roman"/>
        <w:spacing w:val="-12"/>
        <w:w w:val="100"/>
        <w:sz w:val="24"/>
        <w:szCs w:val="24"/>
      </w:rPr>
    </w:lvl>
    <w:lvl w:ilvl="1">
      <w:start w:val="0"/>
      <w:numFmt w:val="bullet"/>
      <w:lvlText w:val="•"/>
      <w:lvlJc w:val="left"/>
      <w:pPr>
        <w:ind w:left="1728" w:hanging="710"/>
      </w:pPr>
      <w:rPr>
        <w:rFonts w:hint="default"/>
      </w:rPr>
    </w:lvl>
    <w:lvl w:ilvl="2">
      <w:start w:val="0"/>
      <w:numFmt w:val="bullet"/>
      <w:lvlText w:val="•"/>
      <w:lvlJc w:val="left"/>
      <w:pPr>
        <w:ind w:left="2576" w:hanging="710"/>
      </w:pPr>
      <w:rPr>
        <w:rFonts w:hint="default"/>
      </w:rPr>
    </w:lvl>
    <w:lvl w:ilvl="3">
      <w:start w:val="0"/>
      <w:numFmt w:val="bullet"/>
      <w:lvlText w:val="•"/>
      <w:lvlJc w:val="left"/>
      <w:pPr>
        <w:ind w:left="3425" w:hanging="710"/>
      </w:pPr>
      <w:rPr>
        <w:rFonts w:hint="default"/>
      </w:rPr>
    </w:lvl>
    <w:lvl w:ilvl="4">
      <w:start w:val="0"/>
      <w:numFmt w:val="bullet"/>
      <w:lvlText w:val="•"/>
      <w:lvlJc w:val="left"/>
      <w:pPr>
        <w:ind w:left="4273" w:hanging="710"/>
      </w:pPr>
      <w:rPr>
        <w:rFonts w:hint="default"/>
      </w:rPr>
    </w:lvl>
    <w:lvl w:ilvl="5">
      <w:start w:val="0"/>
      <w:numFmt w:val="bullet"/>
      <w:lvlText w:val="•"/>
      <w:lvlJc w:val="left"/>
      <w:pPr>
        <w:ind w:left="5122" w:hanging="710"/>
      </w:pPr>
      <w:rPr>
        <w:rFonts w:hint="default"/>
      </w:rPr>
    </w:lvl>
    <w:lvl w:ilvl="6">
      <w:start w:val="0"/>
      <w:numFmt w:val="bullet"/>
      <w:lvlText w:val="•"/>
      <w:lvlJc w:val="left"/>
      <w:pPr>
        <w:ind w:left="5970" w:hanging="710"/>
      </w:pPr>
      <w:rPr>
        <w:rFonts w:hint="default"/>
      </w:rPr>
    </w:lvl>
    <w:lvl w:ilvl="7">
      <w:start w:val="0"/>
      <w:numFmt w:val="bullet"/>
      <w:lvlText w:val="•"/>
      <w:lvlJc w:val="left"/>
      <w:pPr>
        <w:ind w:left="6819" w:hanging="710"/>
      </w:pPr>
      <w:rPr>
        <w:rFonts w:hint="default"/>
      </w:rPr>
    </w:lvl>
    <w:lvl w:ilvl="8">
      <w:start w:val="0"/>
      <w:numFmt w:val="bullet"/>
      <w:lvlText w:val="•"/>
      <w:lvlJc w:val="left"/>
      <w:pPr>
        <w:ind w:left="7667" w:hanging="710"/>
      </w:pPr>
      <w:rPr>
        <w:rFonts w:hint="default"/>
      </w:rPr>
    </w:lvl>
  </w:abstractNum>
  <w:abstractNum w:abstractNumId="2">
    <w:multiLevelType w:val="hybridMultilevel"/>
    <w:lvl w:ilvl="0">
      <w:start w:val="0"/>
      <w:numFmt w:val="bullet"/>
      <w:lvlText w:val="-"/>
      <w:lvlJc w:val="left"/>
      <w:pPr>
        <w:ind w:left="886" w:hanging="709"/>
      </w:pPr>
      <w:rPr>
        <w:rFonts w:hint="default" w:ascii="Times New Roman" w:hAnsi="Times New Roman" w:eastAsia="Times New Roman" w:cs="Times New Roman"/>
        <w:spacing w:val="-2"/>
        <w:w w:val="100"/>
        <w:sz w:val="24"/>
        <w:szCs w:val="24"/>
      </w:rPr>
    </w:lvl>
    <w:lvl w:ilvl="1">
      <w:start w:val="0"/>
      <w:numFmt w:val="bullet"/>
      <w:lvlText w:val="•"/>
      <w:lvlJc w:val="left"/>
      <w:pPr>
        <w:ind w:left="897" w:hanging="360"/>
      </w:pPr>
      <w:rPr>
        <w:rFonts w:hint="default" w:ascii="Arial" w:hAnsi="Arial" w:eastAsia="Arial" w:cs="Arial"/>
        <w:w w:val="131"/>
        <w:sz w:val="24"/>
        <w:szCs w:val="24"/>
      </w:rPr>
    </w:lvl>
    <w:lvl w:ilvl="2">
      <w:start w:val="0"/>
      <w:numFmt w:val="bullet"/>
      <w:lvlText w:val="•"/>
      <w:lvlJc w:val="left"/>
      <w:pPr>
        <w:ind w:left="1840" w:hanging="360"/>
      </w:pPr>
      <w:rPr>
        <w:rFonts w:hint="default"/>
      </w:rPr>
    </w:lvl>
    <w:lvl w:ilvl="3">
      <w:start w:val="0"/>
      <w:numFmt w:val="bullet"/>
      <w:lvlText w:val="•"/>
      <w:lvlJc w:val="left"/>
      <w:pPr>
        <w:ind w:left="2780" w:hanging="360"/>
      </w:pPr>
      <w:rPr>
        <w:rFonts w:hint="default"/>
      </w:rPr>
    </w:lvl>
    <w:lvl w:ilvl="4">
      <w:start w:val="0"/>
      <w:numFmt w:val="bullet"/>
      <w:lvlText w:val="•"/>
      <w:lvlJc w:val="left"/>
      <w:pPr>
        <w:ind w:left="3721" w:hanging="360"/>
      </w:pPr>
      <w:rPr>
        <w:rFonts w:hint="default"/>
      </w:rPr>
    </w:lvl>
    <w:lvl w:ilvl="5">
      <w:start w:val="0"/>
      <w:numFmt w:val="bullet"/>
      <w:lvlText w:val="•"/>
      <w:lvlJc w:val="left"/>
      <w:pPr>
        <w:ind w:left="4661" w:hanging="360"/>
      </w:pPr>
      <w:rPr>
        <w:rFonts w:hint="default"/>
      </w:rPr>
    </w:lvl>
    <w:lvl w:ilvl="6">
      <w:start w:val="0"/>
      <w:numFmt w:val="bullet"/>
      <w:lvlText w:val="•"/>
      <w:lvlJc w:val="left"/>
      <w:pPr>
        <w:ind w:left="5602" w:hanging="360"/>
      </w:pPr>
      <w:rPr>
        <w:rFonts w:hint="default"/>
      </w:rPr>
    </w:lvl>
    <w:lvl w:ilvl="7">
      <w:start w:val="0"/>
      <w:numFmt w:val="bullet"/>
      <w:lvlText w:val="•"/>
      <w:lvlJc w:val="left"/>
      <w:pPr>
        <w:ind w:left="6542" w:hanging="360"/>
      </w:pPr>
      <w:rPr>
        <w:rFonts w:hint="default"/>
      </w:rPr>
    </w:lvl>
    <w:lvl w:ilvl="8">
      <w:start w:val="0"/>
      <w:numFmt w:val="bullet"/>
      <w:lvlText w:val="•"/>
      <w:lvlJc w:val="left"/>
      <w:pPr>
        <w:ind w:left="7483" w:hanging="360"/>
      </w:pPr>
      <w:rPr>
        <w:rFonts w:hint="default"/>
      </w:rPr>
    </w:lvl>
  </w:abstractNum>
  <w:abstractNum w:abstractNumId="1">
    <w:multiLevelType w:val="hybridMultilevel"/>
    <w:lvl w:ilvl="0">
      <w:start w:val="1"/>
      <w:numFmt w:val="decimal"/>
      <w:lvlText w:val="%1."/>
      <w:lvlJc w:val="left"/>
      <w:pPr>
        <w:ind w:left="537" w:hanging="360"/>
        <w:jc w:val="left"/>
      </w:pPr>
      <w:rPr>
        <w:rFonts w:hint="default"/>
        <w:b/>
        <w:bCs/>
        <w:w w:val="100"/>
      </w:rPr>
    </w:lvl>
    <w:lvl w:ilvl="1">
      <w:start w:val="1"/>
      <w:numFmt w:val="decimal"/>
      <w:lvlText w:val="%1.%2."/>
      <w:lvlJc w:val="left"/>
      <w:pPr>
        <w:ind w:left="1084" w:hanging="908"/>
        <w:jc w:val="left"/>
      </w:pPr>
      <w:rPr>
        <w:rFonts w:hint="default"/>
        <w:b/>
        <w:bCs/>
        <w:w w:val="100"/>
      </w:rPr>
    </w:lvl>
    <w:lvl w:ilvl="2">
      <w:start w:val="1"/>
      <w:numFmt w:val="lowerLetter"/>
      <w:lvlText w:val="%3)"/>
      <w:lvlJc w:val="left"/>
      <w:pPr>
        <w:ind w:left="897" w:hanging="908"/>
        <w:jc w:val="left"/>
      </w:pPr>
      <w:rPr>
        <w:rFonts w:hint="default" w:ascii="Times New Roman" w:hAnsi="Times New Roman" w:eastAsia="Times New Roman" w:cs="Times New Roman"/>
        <w:spacing w:val="-7"/>
        <w:w w:val="100"/>
        <w:sz w:val="24"/>
        <w:szCs w:val="24"/>
      </w:rPr>
    </w:lvl>
    <w:lvl w:ilvl="3">
      <w:start w:val="0"/>
      <w:numFmt w:val="bullet"/>
      <w:lvlText w:val="•"/>
      <w:lvlJc w:val="left"/>
      <w:pPr>
        <w:ind w:left="1140" w:hanging="908"/>
      </w:pPr>
      <w:rPr>
        <w:rFonts w:hint="default"/>
      </w:rPr>
    </w:lvl>
    <w:lvl w:ilvl="4">
      <w:start w:val="0"/>
      <w:numFmt w:val="bullet"/>
      <w:lvlText w:val="•"/>
      <w:lvlJc w:val="left"/>
      <w:pPr>
        <w:ind w:left="2314" w:hanging="908"/>
      </w:pPr>
      <w:rPr>
        <w:rFonts w:hint="default"/>
      </w:rPr>
    </w:lvl>
    <w:lvl w:ilvl="5">
      <w:start w:val="0"/>
      <w:numFmt w:val="bullet"/>
      <w:lvlText w:val="•"/>
      <w:lvlJc w:val="left"/>
      <w:pPr>
        <w:ind w:left="3489" w:hanging="908"/>
      </w:pPr>
      <w:rPr>
        <w:rFonts w:hint="default"/>
      </w:rPr>
    </w:lvl>
    <w:lvl w:ilvl="6">
      <w:start w:val="0"/>
      <w:numFmt w:val="bullet"/>
      <w:lvlText w:val="•"/>
      <w:lvlJc w:val="left"/>
      <w:pPr>
        <w:ind w:left="4664" w:hanging="908"/>
      </w:pPr>
      <w:rPr>
        <w:rFonts w:hint="default"/>
      </w:rPr>
    </w:lvl>
    <w:lvl w:ilvl="7">
      <w:start w:val="0"/>
      <w:numFmt w:val="bullet"/>
      <w:lvlText w:val="•"/>
      <w:lvlJc w:val="left"/>
      <w:pPr>
        <w:ind w:left="5839" w:hanging="908"/>
      </w:pPr>
      <w:rPr>
        <w:rFonts w:hint="default"/>
      </w:rPr>
    </w:lvl>
    <w:lvl w:ilvl="8">
      <w:start w:val="0"/>
      <w:numFmt w:val="bullet"/>
      <w:lvlText w:val="•"/>
      <w:lvlJc w:val="left"/>
      <w:pPr>
        <w:ind w:left="7014" w:hanging="908"/>
      </w:pPr>
      <w:rPr>
        <w:rFonts w:hint="default"/>
      </w:rPr>
    </w:lvl>
  </w:abstractNum>
  <w:abstractNum w:abstractNumId="0">
    <w:multiLevelType w:val="hybridMultilevel"/>
    <w:lvl w:ilvl="0">
      <w:start w:val="1"/>
      <w:numFmt w:val="decimal"/>
      <w:lvlText w:val="%1."/>
      <w:lvlJc w:val="left"/>
      <w:pPr>
        <w:ind w:left="657" w:hanging="480"/>
        <w:jc w:val="left"/>
      </w:pPr>
      <w:rPr>
        <w:rFonts w:hint="default" w:ascii="TimesNewRomanPS-BoldItalicMT" w:hAnsi="TimesNewRomanPS-BoldItalicMT" w:eastAsia="TimesNewRomanPS-BoldItalicMT" w:cs="TimesNewRomanPS-BoldItalicMT"/>
        <w:b/>
        <w:bCs/>
        <w:i/>
        <w:spacing w:val="-1"/>
        <w:w w:val="100"/>
        <w:sz w:val="24"/>
        <w:szCs w:val="24"/>
      </w:rPr>
    </w:lvl>
    <w:lvl w:ilvl="1">
      <w:start w:val="1"/>
      <w:numFmt w:val="decimal"/>
      <w:lvlText w:val="%1.%2."/>
      <w:lvlJc w:val="left"/>
      <w:pPr>
        <w:ind w:left="1137" w:hanging="720"/>
        <w:jc w:val="left"/>
      </w:pPr>
      <w:rPr>
        <w:rFonts w:hint="default" w:ascii="Times New Roman" w:hAnsi="Times New Roman" w:eastAsia="Times New Roman" w:cs="Times New Roman"/>
        <w:b/>
        <w:bCs/>
        <w:w w:val="99"/>
        <w:sz w:val="22"/>
        <w:szCs w:val="22"/>
      </w:rPr>
    </w:lvl>
    <w:lvl w:ilvl="2">
      <w:start w:val="1"/>
      <w:numFmt w:val="decimal"/>
      <w:lvlText w:val="%1.%2.%3."/>
      <w:lvlJc w:val="left"/>
      <w:pPr>
        <w:ind w:left="1377" w:hanging="720"/>
        <w:jc w:val="left"/>
      </w:pPr>
      <w:rPr>
        <w:rFonts w:hint="default" w:ascii="Times New Roman" w:hAnsi="Times New Roman" w:eastAsia="Times New Roman" w:cs="Times New Roman"/>
        <w:w w:val="100"/>
        <w:sz w:val="20"/>
        <w:szCs w:val="20"/>
      </w:rPr>
    </w:lvl>
    <w:lvl w:ilvl="3">
      <w:start w:val="0"/>
      <w:numFmt w:val="bullet"/>
      <w:lvlText w:val="•"/>
      <w:lvlJc w:val="left"/>
      <w:pPr>
        <w:ind w:left="1620" w:hanging="720"/>
      </w:pPr>
      <w:rPr>
        <w:rFonts w:hint="default"/>
      </w:rPr>
    </w:lvl>
    <w:lvl w:ilvl="4">
      <w:start w:val="0"/>
      <w:numFmt w:val="bullet"/>
      <w:lvlText w:val="•"/>
      <w:lvlJc w:val="left"/>
      <w:pPr>
        <w:ind w:left="2726" w:hanging="720"/>
      </w:pPr>
      <w:rPr>
        <w:rFonts w:hint="default"/>
      </w:rPr>
    </w:lvl>
    <w:lvl w:ilvl="5">
      <w:start w:val="0"/>
      <w:numFmt w:val="bullet"/>
      <w:lvlText w:val="•"/>
      <w:lvlJc w:val="left"/>
      <w:pPr>
        <w:ind w:left="3832" w:hanging="720"/>
      </w:pPr>
      <w:rPr>
        <w:rFonts w:hint="default"/>
      </w:rPr>
    </w:lvl>
    <w:lvl w:ilvl="6">
      <w:start w:val="0"/>
      <w:numFmt w:val="bullet"/>
      <w:lvlText w:val="•"/>
      <w:lvlJc w:val="left"/>
      <w:pPr>
        <w:ind w:left="4939" w:hanging="720"/>
      </w:pPr>
      <w:rPr>
        <w:rFonts w:hint="default"/>
      </w:rPr>
    </w:lvl>
    <w:lvl w:ilvl="7">
      <w:start w:val="0"/>
      <w:numFmt w:val="bullet"/>
      <w:lvlText w:val="•"/>
      <w:lvlJc w:val="left"/>
      <w:pPr>
        <w:ind w:left="6045" w:hanging="720"/>
      </w:pPr>
      <w:rPr>
        <w:rFonts w:hint="default"/>
      </w:rPr>
    </w:lvl>
    <w:lvl w:ilvl="8">
      <w:start w:val="0"/>
      <w:numFmt w:val="bullet"/>
      <w:lvlText w:val="•"/>
      <w:lvlJc w:val="left"/>
      <w:pPr>
        <w:ind w:left="7151" w:hanging="720"/>
      </w:pPr>
      <w:rPr>
        <w:rFonts w:hint="default"/>
      </w:rPr>
    </w:lvl>
  </w:abstract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TOC1" w:type="paragraph">
    <w:name w:val="TOC 1"/>
    <w:basedOn w:val="Normal"/>
    <w:uiPriority w:val="1"/>
    <w:qFormat/>
    <w:pPr>
      <w:spacing w:before="204"/>
      <w:ind w:left="657" w:hanging="480"/>
    </w:pPr>
    <w:rPr>
      <w:rFonts w:ascii="TimesNewRomanPS-BoldItalicMT" w:hAnsi="TimesNewRomanPS-BoldItalicMT" w:eastAsia="TimesNewRomanPS-BoldItalicMT" w:cs="TimesNewRomanPS-BoldItalicMT"/>
      <w:b/>
      <w:bCs/>
      <w:i/>
      <w:sz w:val="24"/>
      <w:szCs w:val="24"/>
    </w:rPr>
  </w:style>
  <w:style w:styleId="TOC2" w:type="paragraph">
    <w:name w:val="TOC 2"/>
    <w:basedOn w:val="Normal"/>
    <w:uiPriority w:val="1"/>
    <w:qFormat/>
    <w:pPr>
      <w:spacing w:before="20"/>
      <w:ind w:left="177"/>
    </w:pPr>
    <w:rPr>
      <w:rFonts w:ascii="Times New Roman" w:hAnsi="Times New Roman" w:eastAsia="Times New Roman" w:cs="Times New Roman"/>
      <w:sz w:val="16"/>
      <w:szCs w:val="16"/>
    </w:rPr>
  </w:style>
  <w:style w:styleId="TOC3" w:type="paragraph">
    <w:name w:val="TOC 3"/>
    <w:basedOn w:val="Normal"/>
    <w:uiPriority w:val="1"/>
    <w:qFormat/>
    <w:pPr>
      <w:spacing w:before="227"/>
      <w:ind w:left="1137" w:hanging="720"/>
    </w:pPr>
    <w:rPr>
      <w:rFonts w:ascii="Times New Roman" w:hAnsi="Times New Roman" w:eastAsia="Times New Roman" w:cs="Times New Roman"/>
      <w:b/>
      <w:bCs/>
      <w:sz w:val="22"/>
      <w:szCs w:val="22"/>
    </w:rPr>
  </w:style>
  <w:style w:styleId="TOC4" w:type="paragraph">
    <w:name w:val="TOC 4"/>
    <w:basedOn w:val="Normal"/>
    <w:uiPriority w:val="1"/>
    <w:qFormat/>
    <w:pPr>
      <w:spacing w:before="130"/>
      <w:ind w:left="1617" w:hanging="960"/>
    </w:pPr>
    <w:rPr>
      <w:rFonts w:ascii="Times New Roman" w:hAnsi="Times New Roman" w:eastAsia="Times New Roman" w:cs="Times New Roman"/>
      <w:sz w:val="20"/>
      <w:szCs w:val="20"/>
    </w:rPr>
  </w:style>
  <w:style w:styleId="BodyText" w:type="paragraph">
    <w:name w:val="Body Text"/>
    <w:basedOn w:val="Normal"/>
    <w:uiPriority w:val="1"/>
    <w:qFormat/>
    <w:pPr/>
    <w:rPr>
      <w:rFonts w:ascii="Times New Roman" w:hAnsi="Times New Roman" w:eastAsia="Times New Roman" w:cs="Times New Roman"/>
      <w:sz w:val="24"/>
      <w:szCs w:val="24"/>
    </w:rPr>
  </w:style>
  <w:style w:styleId="Heading1" w:type="paragraph">
    <w:name w:val="Heading 1"/>
    <w:basedOn w:val="Normal"/>
    <w:uiPriority w:val="1"/>
    <w:qFormat/>
    <w:pPr>
      <w:spacing w:before="4"/>
      <w:outlineLvl w:val="1"/>
    </w:pPr>
    <w:rPr>
      <w:rFonts w:ascii="Arial" w:hAnsi="Arial" w:eastAsia="Arial" w:cs="Arial"/>
      <w:sz w:val="36"/>
      <w:szCs w:val="36"/>
    </w:rPr>
  </w:style>
  <w:style w:styleId="Heading2" w:type="paragraph">
    <w:name w:val="Heading 2"/>
    <w:basedOn w:val="Normal"/>
    <w:uiPriority w:val="1"/>
    <w:qFormat/>
    <w:pPr>
      <w:ind w:left="1084" w:hanging="907"/>
      <w:outlineLvl w:val="2"/>
    </w:pPr>
    <w:rPr>
      <w:rFonts w:ascii="Times New Roman" w:hAnsi="Times New Roman" w:eastAsia="Times New Roman" w:cs="Times New Roman"/>
      <w:b/>
      <w:bCs/>
      <w:sz w:val="24"/>
      <w:szCs w:val="24"/>
    </w:rPr>
  </w:style>
  <w:style w:styleId="ListParagraph" w:type="paragraph">
    <w:name w:val="List Paragraph"/>
    <w:basedOn w:val="Normal"/>
    <w:uiPriority w:val="1"/>
    <w:qFormat/>
    <w:pPr>
      <w:spacing w:before="84"/>
      <w:ind w:left="1084" w:hanging="360"/>
    </w:pPr>
    <w:rPr>
      <w:rFonts w:ascii="Times New Roman" w:hAnsi="Times New Roman" w:eastAsia="Times New Roman" w:cs="Times New Roman"/>
    </w:rPr>
  </w:style>
  <w:style w:styleId="TableParagraph" w:type="paragraph">
    <w:name w:val="Table Paragraph"/>
    <w:basedOn w:val="Normal"/>
    <w:uiPriority w:val="1"/>
    <w:qFormat/>
    <w:pPr>
      <w:ind w:left="180"/>
      <w:jc w:val="center"/>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image" Target="media/image10.png"/><Relationship Id="rId16" Type="http://schemas.openxmlformats.org/officeDocument/2006/relationships/image" Target="media/image11.png"/><Relationship Id="rId17" Type="http://schemas.openxmlformats.org/officeDocument/2006/relationships/image" Target="media/image12.png"/><Relationship Id="rId18" Type="http://schemas.openxmlformats.org/officeDocument/2006/relationships/image" Target="media/image13.png"/><Relationship Id="rId19" Type="http://schemas.openxmlformats.org/officeDocument/2006/relationships/image" Target="media/image14.png"/><Relationship Id="rId20" Type="http://schemas.openxmlformats.org/officeDocument/2006/relationships/image" Target="media/image15.png"/><Relationship Id="rId21" Type="http://schemas.openxmlformats.org/officeDocument/2006/relationships/image" Target="media/image16.png"/><Relationship Id="rId22" Type="http://schemas.openxmlformats.org/officeDocument/2006/relationships/image" Target="media/image17.png"/><Relationship Id="rId23" Type="http://schemas.openxmlformats.org/officeDocument/2006/relationships/image" Target="media/image18.png"/><Relationship Id="rId2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annettew</dc:creator>
  <dc:title>Microsoft Word - desbasis2a.doc</dc:title>
  <dcterms:created xsi:type="dcterms:W3CDTF">2018-02-13T09:41:57Z</dcterms:created>
  <dcterms:modified xsi:type="dcterms:W3CDTF">2018-02-13T09:41:57Z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2009-02-17T00:00:00Z</vt:filetime>
  </property>
  <property fmtid="{D5CDD505-2E9C-101B-9397-08002B2CF9AE}" pid="3" name="Creator">
    <vt:lpwstr>PScript5.dll Version 5.2.2</vt:lpwstr>
  </property>
  <property fmtid="{D5CDD505-2E9C-101B-9397-08002B2CF9AE}" pid="4" name="LastSaved">
    <vt:filetime>2018-02-13T00:00:00Z</vt:filetime>
  </property>
</Properties>
</file>